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5F4D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一、项目概述</w:t>
      </w:r>
    </w:p>
    <w:p w14:paraId="158B525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1、项目名称：基于医疗大语言模型的智算平台建设项目</w:t>
      </w:r>
    </w:p>
    <w:p w14:paraId="231B6D2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务项目背景介绍：上海交通大学医学院附属新华医院创建于1958年，是新中国成立以来上海自行设计建设的首家综合性医院。60余年发展路，新华人励精图治，打造了一家儿科与成人学科门类齐全且特色鲜明，门急诊量常年位居上海市级医院前茅，有能力为患者提供0-100岁+，全生命周期呵护的三级甲等医院。新华医院先后获得全国先进集体、全国卫生系统先进单位、全国卫生系统卫生文化建设先进单位、上海市文明单位和上海市五一劳动奖状等荣誉称号。</w:t>
      </w:r>
    </w:p>
    <w:p w14:paraId="2B2239C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为响应国家宏观政策和基于医院高质量发展战略要求，面向未来的“智慧医院”应顶层规划，提升医院各类评级的等级，有必要搭建支撑医院高质量发展平台。上海交通大学医学院附属新华医院作为一家现代化综合医院，贵院具备卓越的医疗水平和先进的设备。随着医院规模和就诊人数的不断增加，各方对医疗服务质量的要求也在不断提高，传统的信息化建设面临着一定的瓶颈。因此，拟通过建设基于医疗大语言模型的智算平台，在此基础上搭建各类智能化应用，以提升医院的影响力和服务质量，实现群众获得感不断增强、医院持续健康发展的良好局面。</w:t>
      </w:r>
    </w:p>
    <w:p w14:paraId="08CF6C4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基于医疗大语言模型的智算平台建设项目，建设医疗大语言模型和医疗智能体开发平台。医疗大语言模型为底层基础，利用高质量医学语料数据训练而成，能够处理各类复杂医学任务，对外提供医疗大模型能力，能与医生、患者等人群进行更加自然的对话。医疗智能体开发平台提供全面的智能体管理与创建功能，支持用户轻松构建多轮对话和以工作流为核心的AI智能体。平台具备可视化的内容编排和流程搭建工具，使得用户能够直观地设计智能体的交互逻辑。在完成智能体创建后，用户将智能体无缝集成到现有业务流程中，从而提升业务效率和优化用户体验。</w:t>
      </w:r>
    </w:p>
    <w:p w14:paraId="0E3CB36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智算平台的建设旨在帮助医院快速、便捷地部署和集成医疗大语言模型，构建定制化的智能体解决方案。该平台支持医院根据不同的需求和业务场景，灵活调整和配置智能体，确保高效的运营。</w:t>
      </w:r>
    </w:p>
    <w:p w14:paraId="7A882A7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目标1.作为医院级医疗大模型基础设施</w:t>
      </w:r>
    </w:p>
    <w:p w14:paraId="1DAFD5F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帮助医院快速部署和集成医疗大语言模型，构建定制化的智能体解决方案，满足不同医疗场景下的高效运营需求。系统提供API接口，方便与医院的其他信息系统进行对接，实现信息流的无缝衔接，提高医疗服务的整体效率。</w:t>
      </w:r>
    </w:p>
    <w:p w14:paraId="459B18C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目标2.提供高质量的语料库构建与搜索增强（RAG）技术</w:t>
      </w:r>
    </w:p>
    <w:p w14:paraId="3510A8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医院构建专属语料库，结合医疗大语言模型，提升信息检索的精准度和灵活性。通过先进的检索增强生成（RAG）技术，平台能够确保AI系统准确理解并调用医院核心知识和数据。系统提供自然语言处理能力，能够增强问答功能，支持医生和患者在查询医疗信息时，获得更准确、更智能的反馈。这种深度融合不仅可以提升医生决策的效率，还能提升患者的自助服务体验，促进精准医疗的实现。</w:t>
      </w:r>
    </w:p>
    <w:p w14:paraId="2DE2E2D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目标3.将医疗大语言模型赋能已有业务，打造大模型智能应用</w:t>
      </w:r>
    </w:p>
    <w:p w14:paraId="6F2DC7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智能体可无缝集成至医院现有业务流程，为医院提供全面的运营服务和数据分析支持。通过智能体与业务流程的结合，平台能够帮助医院增强现有应用能力，提升运行效率。此外，系统可以采集和分析运营数据，为医院的管理层提供可视化报告和决策支持，帮助识别潜在的业务改进点和提高整体用户体验。通过这种集成，医院不仅能够优化资源配置，提升工作效率，还能增强患者满意度，最终推动医院的全面数字化转型。</w:t>
      </w:r>
    </w:p>
    <w:p w14:paraId="508F9BF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3、项目建设地点：上海交通大学医学院附属新华医院</w:t>
      </w:r>
    </w:p>
    <w:p w14:paraId="468B467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4、项目建设周期：合同生效后3个月内</w:t>
      </w:r>
    </w:p>
    <w:p w14:paraId="12CFE7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5、付款方式：</w:t>
      </w:r>
    </w:p>
    <w:p w14:paraId="11276E8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（1）本项目自签约后开始实施，乙方按照项目实施计划进行项目实施工作，并经过甲方阶段性验收后（产品上线），根据医院付款流程，向乙方支付本合同项目总金额40%的合同款。</w:t>
      </w:r>
    </w:p>
    <w:p w14:paraId="594176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（2）本项目自验收合格之日起，且甲方在收到乙方开具的有效发票后，根据医院付款流程，向乙方支付本合同项目总金额40%的合同款。</w:t>
      </w:r>
    </w:p>
    <w:p w14:paraId="17C8DD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（3）本项目剩余的合同款按实际维保期月份数/合同约定维保月份数折算，实际未维保月份不予支付。甲方在收到乙方开具的有效发票后，根据医院付款流程，向乙方支付。</w:t>
      </w:r>
    </w:p>
    <w:p w14:paraId="2035BB83">
      <w:pPr>
        <w:autoSpaceDE w:val="0"/>
        <w:autoSpaceDN w:val="0"/>
        <w:adjustRightInd w:val="0"/>
        <w:spacing w:line="360" w:lineRule="auto"/>
        <w:jc w:val="left"/>
        <w:rPr>
          <w:rFonts w:hint="eastAsia" w:ascii="宋体" w:hAnsi="宋体" w:eastAsia="宋体" w:cs="宋体"/>
          <w:kern w:val="0"/>
          <w:sz w:val="24"/>
          <w:szCs w:val="24"/>
        </w:rPr>
      </w:pPr>
    </w:p>
    <w:p w14:paraId="72A7227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二、项目内容</w:t>
      </w:r>
    </w:p>
    <w:p w14:paraId="578D1F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通过基于医疗大语言模型的智算平台建设项目，建设医疗大语言模型和医疗智能体开发平台。</w:t>
      </w:r>
    </w:p>
    <w:tbl>
      <w:tblPr>
        <w:tblStyle w:val="9"/>
        <w:tblW w:w="5000" w:type="pct"/>
        <w:tblInd w:w="0" w:type="dxa"/>
        <w:tblLayout w:type="autofit"/>
        <w:tblCellMar>
          <w:top w:w="0" w:type="dxa"/>
          <w:left w:w="108" w:type="dxa"/>
          <w:bottom w:w="0" w:type="dxa"/>
          <w:right w:w="108" w:type="dxa"/>
        </w:tblCellMar>
      </w:tblPr>
      <w:tblGrid>
        <w:gridCol w:w="1162"/>
        <w:gridCol w:w="1186"/>
        <w:gridCol w:w="1982"/>
        <w:gridCol w:w="3356"/>
        <w:gridCol w:w="836"/>
      </w:tblGrid>
      <w:tr w14:paraId="213AD9EB">
        <w:tblPrEx>
          <w:tblCellMar>
            <w:top w:w="0" w:type="dxa"/>
            <w:left w:w="108" w:type="dxa"/>
            <w:bottom w:w="0" w:type="dxa"/>
            <w:right w:w="108" w:type="dxa"/>
          </w:tblCellMar>
        </w:tblPrEx>
        <w:trPr>
          <w:trHeight w:val="312"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18CC656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696" w:type="pct"/>
            <w:tcBorders>
              <w:top w:val="single" w:color="auto" w:sz="4" w:space="0"/>
              <w:left w:val="nil"/>
              <w:bottom w:val="single" w:color="auto" w:sz="4" w:space="0"/>
              <w:right w:val="single" w:color="auto" w:sz="4" w:space="0"/>
            </w:tcBorders>
            <w:noWrap w:val="0"/>
            <w:vAlign w:val="center"/>
          </w:tcPr>
          <w:p w14:paraId="1463191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平台/系统</w:t>
            </w:r>
          </w:p>
        </w:tc>
        <w:tc>
          <w:tcPr>
            <w:tcW w:w="1163" w:type="pct"/>
            <w:tcBorders>
              <w:top w:val="single" w:color="auto" w:sz="4" w:space="0"/>
              <w:left w:val="nil"/>
              <w:bottom w:val="single" w:color="auto" w:sz="4" w:space="0"/>
              <w:right w:val="single" w:color="auto" w:sz="4" w:space="0"/>
            </w:tcBorders>
            <w:noWrap w:val="0"/>
            <w:vAlign w:val="center"/>
          </w:tcPr>
          <w:p w14:paraId="7FCDBA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功能/模块</w:t>
            </w:r>
          </w:p>
        </w:tc>
        <w:tc>
          <w:tcPr>
            <w:tcW w:w="1969" w:type="pct"/>
            <w:tcBorders>
              <w:top w:val="single" w:color="auto" w:sz="4" w:space="0"/>
              <w:left w:val="nil"/>
              <w:bottom w:val="single" w:color="auto" w:sz="4" w:space="0"/>
              <w:right w:val="single" w:color="auto" w:sz="4" w:space="0"/>
            </w:tcBorders>
            <w:noWrap w:val="0"/>
            <w:vAlign w:val="center"/>
          </w:tcPr>
          <w:p w14:paraId="32FC02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子功能/模块</w:t>
            </w:r>
          </w:p>
        </w:tc>
        <w:tc>
          <w:tcPr>
            <w:tcW w:w="490" w:type="pct"/>
            <w:tcBorders>
              <w:top w:val="single" w:color="auto" w:sz="4" w:space="0"/>
              <w:left w:val="nil"/>
              <w:bottom w:val="single" w:color="auto" w:sz="4" w:space="0"/>
              <w:right w:val="single" w:color="auto" w:sz="4" w:space="0"/>
            </w:tcBorders>
            <w:noWrap w:val="0"/>
            <w:vAlign w:val="center"/>
          </w:tcPr>
          <w:p w14:paraId="4F25A48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37E886D0">
        <w:tblPrEx>
          <w:tblCellMar>
            <w:top w:w="0" w:type="dxa"/>
            <w:left w:w="108" w:type="dxa"/>
            <w:bottom w:w="0" w:type="dxa"/>
            <w:right w:w="108" w:type="dxa"/>
          </w:tblCellMar>
        </w:tblPrEx>
        <w:trPr>
          <w:trHeight w:val="312" w:hRule="atLeast"/>
        </w:trPr>
        <w:tc>
          <w:tcPr>
            <w:tcW w:w="682" w:type="pct"/>
            <w:vMerge w:val="restart"/>
            <w:tcBorders>
              <w:top w:val="nil"/>
              <w:left w:val="single" w:color="auto" w:sz="4" w:space="0"/>
              <w:bottom w:val="single" w:color="000000" w:sz="4" w:space="0"/>
              <w:right w:val="single" w:color="auto" w:sz="4" w:space="0"/>
            </w:tcBorders>
            <w:noWrap w:val="0"/>
            <w:vAlign w:val="center"/>
          </w:tcPr>
          <w:p w14:paraId="4D92D1D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基于医疗大语言模型的智算平台建设项目</w:t>
            </w:r>
          </w:p>
        </w:tc>
        <w:tc>
          <w:tcPr>
            <w:tcW w:w="696" w:type="pct"/>
            <w:vMerge w:val="restart"/>
            <w:tcBorders>
              <w:top w:val="nil"/>
              <w:left w:val="single" w:color="auto" w:sz="4" w:space="0"/>
              <w:bottom w:val="single" w:color="auto" w:sz="4" w:space="0"/>
              <w:right w:val="single" w:color="auto" w:sz="4" w:space="0"/>
            </w:tcBorders>
            <w:noWrap w:val="0"/>
            <w:vAlign w:val="center"/>
          </w:tcPr>
          <w:p w14:paraId="3D149D8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医疗大语言模型</w:t>
            </w:r>
          </w:p>
        </w:tc>
        <w:tc>
          <w:tcPr>
            <w:tcW w:w="1163" w:type="pct"/>
            <w:vMerge w:val="restart"/>
            <w:tcBorders>
              <w:top w:val="nil"/>
              <w:left w:val="single" w:color="auto" w:sz="4" w:space="0"/>
              <w:bottom w:val="single" w:color="auto" w:sz="4" w:space="0"/>
              <w:right w:val="single" w:color="auto" w:sz="4" w:space="0"/>
            </w:tcBorders>
            <w:noWrap w:val="0"/>
            <w:vAlign w:val="center"/>
          </w:tcPr>
          <w:p w14:paraId="580BE95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模型知识体系</w:t>
            </w:r>
          </w:p>
        </w:tc>
        <w:tc>
          <w:tcPr>
            <w:tcW w:w="1969" w:type="pct"/>
            <w:tcBorders>
              <w:top w:val="nil"/>
              <w:left w:val="nil"/>
              <w:bottom w:val="single" w:color="auto" w:sz="4" w:space="0"/>
              <w:right w:val="single" w:color="auto" w:sz="4" w:space="0"/>
            </w:tcBorders>
            <w:noWrap w:val="0"/>
            <w:vAlign w:val="center"/>
          </w:tcPr>
          <w:p w14:paraId="64B5D1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多来源高质量医学训练数据</w:t>
            </w:r>
          </w:p>
        </w:tc>
        <w:tc>
          <w:tcPr>
            <w:tcW w:w="490" w:type="pct"/>
            <w:vMerge w:val="restart"/>
            <w:tcBorders>
              <w:top w:val="nil"/>
              <w:left w:val="nil"/>
              <w:right w:val="single" w:color="auto" w:sz="4" w:space="0"/>
            </w:tcBorders>
            <w:noWrap w:val="0"/>
            <w:vAlign w:val="center"/>
          </w:tcPr>
          <w:p w14:paraId="5D0380A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52DE7AA2">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0785A86D">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62A0B9D6">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470F2C91">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ign w:val="bottom"/>
          </w:tcPr>
          <w:p w14:paraId="5995CDF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多维度医学领域覆盖</w:t>
            </w:r>
          </w:p>
        </w:tc>
        <w:tc>
          <w:tcPr>
            <w:tcW w:w="490" w:type="pct"/>
            <w:vMerge w:val="continue"/>
            <w:tcBorders>
              <w:left w:val="nil"/>
              <w:bottom w:val="single" w:color="auto" w:sz="4" w:space="0"/>
              <w:right w:val="single" w:color="auto" w:sz="4" w:space="0"/>
            </w:tcBorders>
            <w:noWrap w:val="0"/>
            <w:vAlign w:val="center"/>
          </w:tcPr>
          <w:p w14:paraId="68DCFD00">
            <w:pPr>
              <w:autoSpaceDE w:val="0"/>
              <w:autoSpaceDN w:val="0"/>
              <w:adjustRightInd w:val="0"/>
              <w:spacing w:line="360" w:lineRule="auto"/>
              <w:jc w:val="left"/>
              <w:rPr>
                <w:rFonts w:hint="eastAsia" w:ascii="宋体" w:hAnsi="宋体" w:eastAsia="宋体" w:cs="宋体"/>
                <w:kern w:val="0"/>
                <w:sz w:val="24"/>
                <w:szCs w:val="24"/>
              </w:rPr>
            </w:pPr>
          </w:p>
        </w:tc>
      </w:tr>
      <w:tr w14:paraId="36CF1ED5">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13A6B5E7">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03C71126">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69200D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模型理解能力</w:t>
            </w:r>
          </w:p>
        </w:tc>
        <w:tc>
          <w:tcPr>
            <w:tcW w:w="1969" w:type="pct"/>
            <w:tcBorders>
              <w:top w:val="nil"/>
              <w:left w:val="nil"/>
              <w:bottom w:val="single" w:color="auto" w:sz="4" w:space="0"/>
              <w:right w:val="single" w:color="auto" w:sz="4" w:space="0"/>
            </w:tcBorders>
            <w:noWrap/>
            <w:vAlign w:val="bottom"/>
          </w:tcPr>
          <w:p w14:paraId="759C72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文本理解与多轮对话</w:t>
            </w:r>
          </w:p>
        </w:tc>
        <w:tc>
          <w:tcPr>
            <w:tcW w:w="490" w:type="pct"/>
            <w:vMerge w:val="restart"/>
            <w:tcBorders>
              <w:top w:val="nil"/>
              <w:left w:val="nil"/>
              <w:right w:val="single" w:color="auto" w:sz="4" w:space="0"/>
            </w:tcBorders>
            <w:noWrap w:val="0"/>
            <w:vAlign w:val="center"/>
          </w:tcPr>
          <w:p w14:paraId="6B5C32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23B4C3FA">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33DB3379">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0C0F9BA3">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130D1E72">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ign w:val="bottom"/>
          </w:tcPr>
          <w:p w14:paraId="0BB27E2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意图识别与意图分类</w:t>
            </w:r>
          </w:p>
        </w:tc>
        <w:tc>
          <w:tcPr>
            <w:tcW w:w="490" w:type="pct"/>
            <w:vMerge w:val="continue"/>
            <w:tcBorders>
              <w:left w:val="nil"/>
              <w:right w:val="single" w:color="auto" w:sz="4" w:space="0"/>
            </w:tcBorders>
            <w:noWrap w:val="0"/>
            <w:vAlign w:val="center"/>
          </w:tcPr>
          <w:p w14:paraId="714ED351">
            <w:pPr>
              <w:autoSpaceDE w:val="0"/>
              <w:autoSpaceDN w:val="0"/>
              <w:adjustRightInd w:val="0"/>
              <w:spacing w:line="360" w:lineRule="auto"/>
              <w:jc w:val="left"/>
              <w:rPr>
                <w:rFonts w:hint="eastAsia" w:ascii="宋体" w:hAnsi="宋体" w:eastAsia="宋体" w:cs="宋体"/>
                <w:kern w:val="0"/>
                <w:sz w:val="24"/>
                <w:szCs w:val="24"/>
              </w:rPr>
            </w:pPr>
          </w:p>
        </w:tc>
      </w:tr>
      <w:tr w14:paraId="080360F8">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0F9231BE">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612BD9FC">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28AE29E2">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ign w:val="center"/>
          </w:tcPr>
          <w:p w14:paraId="5A80D09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语义推理与医学逻辑判断 </w:t>
            </w:r>
          </w:p>
        </w:tc>
        <w:tc>
          <w:tcPr>
            <w:tcW w:w="490" w:type="pct"/>
            <w:vMerge w:val="continue"/>
            <w:tcBorders>
              <w:left w:val="nil"/>
              <w:bottom w:val="single" w:color="auto" w:sz="4" w:space="0"/>
              <w:right w:val="single" w:color="auto" w:sz="4" w:space="0"/>
            </w:tcBorders>
            <w:noWrap w:val="0"/>
            <w:vAlign w:val="center"/>
          </w:tcPr>
          <w:p w14:paraId="7FD9D88B">
            <w:pPr>
              <w:autoSpaceDE w:val="0"/>
              <w:autoSpaceDN w:val="0"/>
              <w:adjustRightInd w:val="0"/>
              <w:spacing w:line="360" w:lineRule="auto"/>
              <w:jc w:val="left"/>
              <w:rPr>
                <w:rFonts w:hint="eastAsia" w:ascii="宋体" w:hAnsi="宋体" w:eastAsia="宋体" w:cs="宋体"/>
                <w:kern w:val="0"/>
                <w:sz w:val="24"/>
                <w:szCs w:val="24"/>
              </w:rPr>
            </w:pPr>
          </w:p>
        </w:tc>
      </w:tr>
      <w:tr w14:paraId="54B21D5E">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3EB82E48">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777104CE">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752E869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模型知识库挂载能力</w:t>
            </w:r>
          </w:p>
        </w:tc>
        <w:tc>
          <w:tcPr>
            <w:tcW w:w="1969" w:type="pct"/>
            <w:tcBorders>
              <w:top w:val="nil"/>
              <w:left w:val="nil"/>
              <w:bottom w:val="single" w:color="auto" w:sz="4" w:space="0"/>
              <w:right w:val="single" w:color="auto" w:sz="4" w:space="0"/>
            </w:tcBorders>
            <w:noWrap/>
            <w:vAlign w:val="center"/>
          </w:tcPr>
          <w:p w14:paraId="256BD08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知识库插件集成 </w:t>
            </w:r>
          </w:p>
        </w:tc>
        <w:tc>
          <w:tcPr>
            <w:tcW w:w="490" w:type="pct"/>
            <w:vMerge w:val="restart"/>
            <w:tcBorders>
              <w:top w:val="nil"/>
              <w:left w:val="nil"/>
              <w:right w:val="single" w:color="auto" w:sz="4" w:space="0"/>
            </w:tcBorders>
            <w:noWrap w:val="0"/>
            <w:vAlign w:val="center"/>
          </w:tcPr>
          <w:p w14:paraId="29CDDB5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605C2F01">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157CE163">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1AF5E1D7">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076E18C1">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ign w:val="center"/>
          </w:tcPr>
          <w:p w14:paraId="52CF6D4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文档库集成能力</w:t>
            </w:r>
          </w:p>
        </w:tc>
        <w:tc>
          <w:tcPr>
            <w:tcW w:w="490" w:type="pct"/>
            <w:vMerge w:val="continue"/>
            <w:tcBorders>
              <w:left w:val="nil"/>
              <w:bottom w:val="single" w:color="auto" w:sz="4" w:space="0"/>
              <w:right w:val="single" w:color="auto" w:sz="4" w:space="0"/>
            </w:tcBorders>
            <w:noWrap w:val="0"/>
            <w:vAlign w:val="center"/>
          </w:tcPr>
          <w:p w14:paraId="2072722D">
            <w:pPr>
              <w:autoSpaceDE w:val="0"/>
              <w:autoSpaceDN w:val="0"/>
              <w:adjustRightInd w:val="0"/>
              <w:spacing w:line="360" w:lineRule="auto"/>
              <w:jc w:val="left"/>
              <w:rPr>
                <w:rFonts w:hint="eastAsia" w:ascii="宋体" w:hAnsi="宋体" w:eastAsia="宋体" w:cs="宋体"/>
                <w:kern w:val="0"/>
                <w:sz w:val="24"/>
                <w:szCs w:val="24"/>
              </w:rPr>
            </w:pPr>
          </w:p>
        </w:tc>
      </w:tr>
      <w:tr w14:paraId="6A2C91AE">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5C4FC080">
            <w:pPr>
              <w:autoSpaceDE w:val="0"/>
              <w:autoSpaceDN w:val="0"/>
              <w:adjustRightInd w:val="0"/>
              <w:spacing w:line="360" w:lineRule="auto"/>
              <w:jc w:val="left"/>
              <w:rPr>
                <w:rFonts w:hint="eastAsia" w:ascii="宋体" w:hAnsi="宋体" w:eastAsia="宋体" w:cs="宋体"/>
                <w:kern w:val="0"/>
                <w:sz w:val="24"/>
                <w:szCs w:val="24"/>
              </w:rPr>
            </w:pPr>
            <w:bookmarkStart w:id="0" w:name="_Hlk190692022"/>
          </w:p>
        </w:tc>
        <w:tc>
          <w:tcPr>
            <w:tcW w:w="696" w:type="pct"/>
            <w:vMerge w:val="continue"/>
            <w:tcBorders>
              <w:top w:val="nil"/>
              <w:left w:val="single" w:color="auto" w:sz="4" w:space="0"/>
              <w:bottom w:val="single" w:color="auto" w:sz="4" w:space="0"/>
              <w:right w:val="single" w:color="auto" w:sz="4" w:space="0"/>
            </w:tcBorders>
            <w:noWrap w:val="0"/>
            <w:vAlign w:val="center"/>
          </w:tcPr>
          <w:p w14:paraId="7777B93A">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bottom"/>
          </w:tcPr>
          <w:p w14:paraId="03E729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长程记忆存储与长文本能力</w:t>
            </w:r>
          </w:p>
        </w:tc>
        <w:tc>
          <w:tcPr>
            <w:tcW w:w="1969" w:type="pct"/>
            <w:tcBorders>
              <w:top w:val="nil"/>
              <w:left w:val="nil"/>
              <w:bottom w:val="single" w:color="auto" w:sz="4" w:space="0"/>
              <w:right w:val="single" w:color="auto" w:sz="4" w:space="0"/>
            </w:tcBorders>
            <w:noWrap/>
            <w:vAlign w:val="center"/>
          </w:tcPr>
          <w:p w14:paraId="33A4B54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长程记忆存储能力</w:t>
            </w:r>
          </w:p>
        </w:tc>
        <w:tc>
          <w:tcPr>
            <w:tcW w:w="490" w:type="pct"/>
            <w:vMerge w:val="restart"/>
            <w:tcBorders>
              <w:top w:val="nil"/>
              <w:left w:val="nil"/>
              <w:right w:val="single" w:color="auto" w:sz="4" w:space="0"/>
            </w:tcBorders>
            <w:noWrap w:val="0"/>
            <w:vAlign w:val="center"/>
          </w:tcPr>
          <w:p w14:paraId="2545AFE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6FDC5306">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2AD84902">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118CAFFC">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160A047F">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ign w:val="center"/>
          </w:tcPr>
          <w:p w14:paraId="17D383B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长文本能力</w:t>
            </w:r>
          </w:p>
        </w:tc>
        <w:tc>
          <w:tcPr>
            <w:tcW w:w="490" w:type="pct"/>
            <w:vMerge w:val="continue"/>
            <w:tcBorders>
              <w:left w:val="nil"/>
              <w:bottom w:val="single" w:color="auto" w:sz="4" w:space="0"/>
              <w:right w:val="single" w:color="auto" w:sz="4" w:space="0"/>
            </w:tcBorders>
            <w:noWrap w:val="0"/>
            <w:vAlign w:val="center"/>
          </w:tcPr>
          <w:p w14:paraId="04C5BE22">
            <w:pPr>
              <w:autoSpaceDE w:val="0"/>
              <w:autoSpaceDN w:val="0"/>
              <w:adjustRightInd w:val="0"/>
              <w:spacing w:line="360" w:lineRule="auto"/>
              <w:jc w:val="left"/>
              <w:rPr>
                <w:rFonts w:hint="eastAsia" w:ascii="宋体" w:hAnsi="宋体" w:eastAsia="宋体" w:cs="宋体"/>
                <w:kern w:val="0"/>
                <w:sz w:val="24"/>
                <w:szCs w:val="24"/>
              </w:rPr>
            </w:pPr>
          </w:p>
        </w:tc>
      </w:tr>
      <w:bookmarkEnd w:id="0"/>
      <w:tr w14:paraId="2CCFE402">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6D2D42AE">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02F525D1">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4D7DD59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大模型工程化能力</w:t>
            </w:r>
          </w:p>
        </w:tc>
        <w:tc>
          <w:tcPr>
            <w:tcW w:w="1969" w:type="pct"/>
            <w:tcBorders>
              <w:top w:val="nil"/>
              <w:left w:val="nil"/>
              <w:bottom w:val="single" w:color="auto" w:sz="4" w:space="0"/>
              <w:right w:val="single" w:color="auto" w:sz="4" w:space="0"/>
            </w:tcBorders>
            <w:noWrap/>
            <w:vAlign w:val="bottom"/>
          </w:tcPr>
          <w:p w14:paraId="6FD54D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高可塑性提示工程优化</w:t>
            </w:r>
          </w:p>
        </w:tc>
        <w:tc>
          <w:tcPr>
            <w:tcW w:w="490" w:type="pct"/>
            <w:vMerge w:val="restart"/>
            <w:tcBorders>
              <w:top w:val="nil"/>
              <w:left w:val="nil"/>
              <w:right w:val="single" w:color="auto" w:sz="4" w:space="0"/>
            </w:tcBorders>
            <w:noWrap w:val="0"/>
            <w:vAlign w:val="center"/>
          </w:tcPr>
          <w:p w14:paraId="0121BF8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3C512752">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6BC1DE12">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auto" w:sz="4" w:space="0"/>
              <w:right w:val="single" w:color="auto" w:sz="4" w:space="0"/>
            </w:tcBorders>
            <w:noWrap w:val="0"/>
            <w:vAlign w:val="center"/>
          </w:tcPr>
          <w:p w14:paraId="16C24E42">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062C89F5">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ign w:val="bottom"/>
          </w:tcPr>
          <w:p w14:paraId="2837616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智能化语言风格与格式调整</w:t>
            </w:r>
          </w:p>
        </w:tc>
        <w:tc>
          <w:tcPr>
            <w:tcW w:w="490" w:type="pct"/>
            <w:vMerge w:val="continue"/>
            <w:tcBorders>
              <w:left w:val="nil"/>
              <w:bottom w:val="single" w:color="auto" w:sz="4" w:space="0"/>
              <w:right w:val="single" w:color="auto" w:sz="4" w:space="0"/>
            </w:tcBorders>
            <w:noWrap w:val="0"/>
            <w:vAlign w:val="center"/>
          </w:tcPr>
          <w:p w14:paraId="1CF60908">
            <w:pPr>
              <w:autoSpaceDE w:val="0"/>
              <w:autoSpaceDN w:val="0"/>
              <w:adjustRightInd w:val="0"/>
              <w:spacing w:line="360" w:lineRule="auto"/>
              <w:jc w:val="left"/>
              <w:rPr>
                <w:rFonts w:hint="eastAsia" w:ascii="宋体" w:hAnsi="宋体" w:eastAsia="宋体" w:cs="宋体"/>
                <w:kern w:val="0"/>
                <w:sz w:val="24"/>
                <w:szCs w:val="24"/>
              </w:rPr>
            </w:pPr>
          </w:p>
        </w:tc>
      </w:tr>
      <w:tr w14:paraId="24C8FAF1">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7D796843">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restart"/>
            <w:tcBorders>
              <w:top w:val="nil"/>
              <w:left w:val="single" w:color="auto" w:sz="4" w:space="0"/>
              <w:bottom w:val="single" w:color="000000" w:sz="4" w:space="0"/>
              <w:right w:val="single" w:color="auto" w:sz="4" w:space="0"/>
            </w:tcBorders>
            <w:noWrap w:val="0"/>
            <w:vAlign w:val="center"/>
          </w:tcPr>
          <w:p w14:paraId="70D633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医疗智能体开发平台</w:t>
            </w:r>
          </w:p>
        </w:tc>
        <w:tc>
          <w:tcPr>
            <w:tcW w:w="1163" w:type="pct"/>
            <w:vMerge w:val="restart"/>
            <w:tcBorders>
              <w:top w:val="nil"/>
              <w:left w:val="single" w:color="auto" w:sz="4" w:space="0"/>
              <w:bottom w:val="single" w:color="auto" w:sz="4" w:space="0"/>
              <w:right w:val="single" w:color="auto" w:sz="4" w:space="0"/>
            </w:tcBorders>
            <w:noWrap w:val="0"/>
            <w:vAlign w:val="center"/>
          </w:tcPr>
          <w:p w14:paraId="0E906D4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医疗智能体创建</w:t>
            </w:r>
          </w:p>
        </w:tc>
        <w:tc>
          <w:tcPr>
            <w:tcW w:w="1969" w:type="pct"/>
            <w:tcBorders>
              <w:top w:val="nil"/>
              <w:left w:val="nil"/>
              <w:bottom w:val="single" w:color="auto" w:sz="4" w:space="0"/>
              <w:right w:val="single" w:color="auto" w:sz="4" w:space="0"/>
            </w:tcBorders>
            <w:noWrap w:val="0"/>
            <w:vAlign w:val="center"/>
          </w:tcPr>
          <w:p w14:paraId="489FDD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可视化智能体编排与管理</w:t>
            </w:r>
          </w:p>
        </w:tc>
        <w:tc>
          <w:tcPr>
            <w:tcW w:w="490" w:type="pct"/>
            <w:vMerge w:val="restart"/>
            <w:tcBorders>
              <w:top w:val="nil"/>
              <w:left w:val="nil"/>
              <w:right w:val="single" w:color="auto" w:sz="4" w:space="0"/>
            </w:tcBorders>
            <w:noWrap w:val="0"/>
            <w:vAlign w:val="center"/>
          </w:tcPr>
          <w:p w14:paraId="75E08AE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55C29798">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7C7DED20">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608827CD">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7F9A5919">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44C843C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可视化Prompt编辑器</w:t>
            </w:r>
          </w:p>
        </w:tc>
        <w:tc>
          <w:tcPr>
            <w:tcW w:w="490" w:type="pct"/>
            <w:vMerge w:val="continue"/>
            <w:tcBorders>
              <w:left w:val="nil"/>
              <w:right w:val="single" w:color="auto" w:sz="4" w:space="0"/>
            </w:tcBorders>
            <w:noWrap w:val="0"/>
            <w:vAlign w:val="center"/>
          </w:tcPr>
          <w:p w14:paraId="69420D0A">
            <w:pPr>
              <w:autoSpaceDE w:val="0"/>
              <w:autoSpaceDN w:val="0"/>
              <w:adjustRightInd w:val="0"/>
              <w:spacing w:line="360" w:lineRule="auto"/>
              <w:jc w:val="left"/>
              <w:rPr>
                <w:rFonts w:hint="eastAsia" w:ascii="宋体" w:hAnsi="宋体" w:eastAsia="宋体" w:cs="宋体"/>
                <w:kern w:val="0"/>
                <w:sz w:val="24"/>
                <w:szCs w:val="24"/>
              </w:rPr>
            </w:pPr>
          </w:p>
        </w:tc>
      </w:tr>
      <w:tr w14:paraId="4B208903">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36F0652C">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1C43B40">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536E14A5">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7CA8F9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大模型参数配置</w:t>
            </w:r>
          </w:p>
        </w:tc>
        <w:tc>
          <w:tcPr>
            <w:tcW w:w="490" w:type="pct"/>
            <w:vMerge w:val="continue"/>
            <w:tcBorders>
              <w:left w:val="nil"/>
              <w:right w:val="single" w:color="auto" w:sz="4" w:space="0"/>
            </w:tcBorders>
            <w:noWrap w:val="0"/>
            <w:vAlign w:val="center"/>
          </w:tcPr>
          <w:p w14:paraId="259D0FB6">
            <w:pPr>
              <w:autoSpaceDE w:val="0"/>
              <w:autoSpaceDN w:val="0"/>
              <w:adjustRightInd w:val="0"/>
              <w:spacing w:line="360" w:lineRule="auto"/>
              <w:jc w:val="left"/>
              <w:rPr>
                <w:rFonts w:hint="eastAsia" w:ascii="宋体" w:hAnsi="宋体" w:eastAsia="宋体" w:cs="宋体"/>
                <w:kern w:val="0"/>
                <w:sz w:val="24"/>
                <w:szCs w:val="24"/>
              </w:rPr>
            </w:pPr>
          </w:p>
        </w:tc>
      </w:tr>
      <w:tr w14:paraId="62E8C0AE">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522B1247">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0E3ED49D">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592AF2A5">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5A56BAD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富文本编辑器</w:t>
            </w:r>
          </w:p>
        </w:tc>
        <w:tc>
          <w:tcPr>
            <w:tcW w:w="490" w:type="pct"/>
            <w:vMerge w:val="continue"/>
            <w:tcBorders>
              <w:left w:val="nil"/>
              <w:right w:val="single" w:color="auto" w:sz="4" w:space="0"/>
            </w:tcBorders>
            <w:noWrap w:val="0"/>
            <w:vAlign w:val="center"/>
          </w:tcPr>
          <w:p w14:paraId="30E6E9B0">
            <w:pPr>
              <w:autoSpaceDE w:val="0"/>
              <w:autoSpaceDN w:val="0"/>
              <w:adjustRightInd w:val="0"/>
              <w:spacing w:line="360" w:lineRule="auto"/>
              <w:jc w:val="left"/>
              <w:rPr>
                <w:rFonts w:hint="eastAsia" w:ascii="宋体" w:hAnsi="宋体" w:eastAsia="宋体" w:cs="宋体"/>
                <w:kern w:val="0"/>
                <w:sz w:val="24"/>
                <w:szCs w:val="24"/>
              </w:rPr>
            </w:pPr>
          </w:p>
        </w:tc>
      </w:tr>
      <w:tr w14:paraId="70DAC073">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22B071B4">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17FECBFC">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543A23D3">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5471CB2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自定义Suggest Prompt</w:t>
            </w:r>
          </w:p>
        </w:tc>
        <w:tc>
          <w:tcPr>
            <w:tcW w:w="490" w:type="pct"/>
            <w:vMerge w:val="continue"/>
            <w:tcBorders>
              <w:left w:val="nil"/>
              <w:right w:val="single" w:color="auto" w:sz="4" w:space="0"/>
            </w:tcBorders>
            <w:noWrap w:val="0"/>
            <w:vAlign w:val="center"/>
          </w:tcPr>
          <w:p w14:paraId="44823BDC">
            <w:pPr>
              <w:autoSpaceDE w:val="0"/>
              <w:autoSpaceDN w:val="0"/>
              <w:adjustRightInd w:val="0"/>
              <w:spacing w:line="360" w:lineRule="auto"/>
              <w:jc w:val="left"/>
              <w:rPr>
                <w:rFonts w:hint="eastAsia" w:ascii="宋体" w:hAnsi="宋体" w:eastAsia="宋体" w:cs="宋体"/>
                <w:kern w:val="0"/>
                <w:sz w:val="24"/>
                <w:szCs w:val="24"/>
              </w:rPr>
            </w:pPr>
          </w:p>
        </w:tc>
      </w:tr>
      <w:tr w14:paraId="779C874A">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242CDA5E">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68F8C1FC">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4B8519A6">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027A509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TTS语音合成</w:t>
            </w:r>
          </w:p>
        </w:tc>
        <w:tc>
          <w:tcPr>
            <w:tcW w:w="490" w:type="pct"/>
            <w:vMerge w:val="continue"/>
            <w:tcBorders>
              <w:left w:val="nil"/>
              <w:right w:val="single" w:color="auto" w:sz="4" w:space="0"/>
            </w:tcBorders>
            <w:noWrap w:val="0"/>
            <w:vAlign w:val="center"/>
          </w:tcPr>
          <w:p w14:paraId="50D044A5">
            <w:pPr>
              <w:autoSpaceDE w:val="0"/>
              <w:autoSpaceDN w:val="0"/>
              <w:adjustRightInd w:val="0"/>
              <w:spacing w:line="360" w:lineRule="auto"/>
              <w:jc w:val="left"/>
              <w:rPr>
                <w:rFonts w:hint="eastAsia" w:ascii="宋体" w:hAnsi="宋体" w:eastAsia="宋体" w:cs="宋体"/>
                <w:kern w:val="0"/>
                <w:sz w:val="24"/>
                <w:szCs w:val="24"/>
              </w:rPr>
            </w:pPr>
          </w:p>
        </w:tc>
      </w:tr>
      <w:tr w14:paraId="033AF51A">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1C77CF38">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E504C69">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37F8B780">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002ED83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ASR语音识别</w:t>
            </w:r>
          </w:p>
        </w:tc>
        <w:tc>
          <w:tcPr>
            <w:tcW w:w="490" w:type="pct"/>
            <w:vMerge w:val="continue"/>
            <w:tcBorders>
              <w:left w:val="nil"/>
              <w:right w:val="single" w:color="auto" w:sz="4" w:space="0"/>
            </w:tcBorders>
            <w:noWrap w:val="0"/>
            <w:vAlign w:val="center"/>
          </w:tcPr>
          <w:p w14:paraId="61F2AC8F">
            <w:pPr>
              <w:autoSpaceDE w:val="0"/>
              <w:autoSpaceDN w:val="0"/>
              <w:adjustRightInd w:val="0"/>
              <w:spacing w:line="360" w:lineRule="auto"/>
              <w:jc w:val="left"/>
              <w:rPr>
                <w:rFonts w:hint="eastAsia" w:ascii="宋体" w:hAnsi="宋体" w:eastAsia="宋体" w:cs="宋体"/>
                <w:kern w:val="0"/>
                <w:sz w:val="24"/>
                <w:szCs w:val="24"/>
              </w:rPr>
            </w:pPr>
          </w:p>
        </w:tc>
      </w:tr>
      <w:tr w14:paraId="1A03288F">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380AB8DA">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253900B">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2A7A27EC">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7140071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文档解析与多模态支持</w:t>
            </w:r>
          </w:p>
        </w:tc>
        <w:tc>
          <w:tcPr>
            <w:tcW w:w="490" w:type="pct"/>
            <w:vMerge w:val="continue"/>
            <w:tcBorders>
              <w:left w:val="nil"/>
              <w:right w:val="single" w:color="auto" w:sz="4" w:space="0"/>
            </w:tcBorders>
            <w:noWrap w:val="0"/>
            <w:vAlign w:val="center"/>
          </w:tcPr>
          <w:p w14:paraId="69D1EC4E">
            <w:pPr>
              <w:autoSpaceDE w:val="0"/>
              <w:autoSpaceDN w:val="0"/>
              <w:adjustRightInd w:val="0"/>
              <w:spacing w:line="360" w:lineRule="auto"/>
              <w:jc w:val="left"/>
              <w:rPr>
                <w:rFonts w:hint="eastAsia" w:ascii="宋体" w:hAnsi="宋体" w:eastAsia="宋体" w:cs="宋体"/>
                <w:kern w:val="0"/>
                <w:sz w:val="24"/>
                <w:szCs w:val="24"/>
              </w:rPr>
            </w:pPr>
          </w:p>
        </w:tc>
      </w:tr>
      <w:tr w14:paraId="2ED569F3">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6818905A">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67A656BC">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1F525C03">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683D3C8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智能体背景设置</w:t>
            </w:r>
          </w:p>
        </w:tc>
        <w:tc>
          <w:tcPr>
            <w:tcW w:w="490" w:type="pct"/>
            <w:vMerge w:val="continue"/>
            <w:tcBorders>
              <w:left w:val="nil"/>
              <w:right w:val="single" w:color="auto" w:sz="4" w:space="0"/>
            </w:tcBorders>
            <w:noWrap w:val="0"/>
            <w:vAlign w:val="center"/>
          </w:tcPr>
          <w:p w14:paraId="764DC463">
            <w:pPr>
              <w:autoSpaceDE w:val="0"/>
              <w:autoSpaceDN w:val="0"/>
              <w:adjustRightInd w:val="0"/>
              <w:spacing w:line="360" w:lineRule="auto"/>
              <w:jc w:val="left"/>
              <w:rPr>
                <w:rFonts w:hint="eastAsia" w:ascii="宋体" w:hAnsi="宋体" w:eastAsia="宋体" w:cs="宋体"/>
                <w:kern w:val="0"/>
                <w:sz w:val="24"/>
                <w:szCs w:val="24"/>
              </w:rPr>
            </w:pPr>
          </w:p>
        </w:tc>
      </w:tr>
      <w:tr w14:paraId="2C6690A4">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45CF1A96">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0372BF62">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2786BE00">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4EBC40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多类型技能挂载</w:t>
            </w:r>
          </w:p>
        </w:tc>
        <w:tc>
          <w:tcPr>
            <w:tcW w:w="490" w:type="pct"/>
            <w:vMerge w:val="continue"/>
            <w:tcBorders>
              <w:left w:val="nil"/>
              <w:right w:val="single" w:color="auto" w:sz="4" w:space="0"/>
            </w:tcBorders>
            <w:noWrap w:val="0"/>
            <w:vAlign w:val="center"/>
          </w:tcPr>
          <w:p w14:paraId="771C551D">
            <w:pPr>
              <w:autoSpaceDE w:val="0"/>
              <w:autoSpaceDN w:val="0"/>
              <w:adjustRightInd w:val="0"/>
              <w:spacing w:line="360" w:lineRule="auto"/>
              <w:jc w:val="left"/>
              <w:rPr>
                <w:rFonts w:hint="eastAsia" w:ascii="宋体" w:hAnsi="宋体" w:eastAsia="宋体" w:cs="宋体"/>
                <w:kern w:val="0"/>
                <w:sz w:val="24"/>
                <w:szCs w:val="24"/>
              </w:rPr>
            </w:pPr>
          </w:p>
        </w:tc>
      </w:tr>
      <w:tr w14:paraId="12F28CB3">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425B5F3C">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2A3EB87F">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6AE7697E">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2763DB8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实时预览与日志</w:t>
            </w:r>
          </w:p>
        </w:tc>
        <w:tc>
          <w:tcPr>
            <w:tcW w:w="490" w:type="pct"/>
            <w:vMerge w:val="continue"/>
            <w:tcBorders>
              <w:left w:val="nil"/>
              <w:bottom w:val="single" w:color="auto" w:sz="4" w:space="0"/>
              <w:right w:val="single" w:color="auto" w:sz="4" w:space="0"/>
            </w:tcBorders>
            <w:noWrap w:val="0"/>
            <w:vAlign w:val="center"/>
          </w:tcPr>
          <w:p w14:paraId="10BD3206">
            <w:pPr>
              <w:autoSpaceDE w:val="0"/>
              <w:autoSpaceDN w:val="0"/>
              <w:adjustRightInd w:val="0"/>
              <w:spacing w:line="360" w:lineRule="auto"/>
              <w:jc w:val="left"/>
              <w:rPr>
                <w:rFonts w:hint="eastAsia" w:ascii="宋体" w:hAnsi="宋体" w:eastAsia="宋体" w:cs="宋体"/>
                <w:kern w:val="0"/>
                <w:sz w:val="24"/>
                <w:szCs w:val="24"/>
              </w:rPr>
            </w:pPr>
          </w:p>
        </w:tc>
      </w:tr>
      <w:tr w14:paraId="58BDC429">
        <w:tblPrEx>
          <w:tblCellMar>
            <w:top w:w="0" w:type="dxa"/>
            <w:left w:w="108" w:type="dxa"/>
            <w:bottom w:w="0" w:type="dxa"/>
            <w:right w:w="108" w:type="dxa"/>
          </w:tblCellMar>
        </w:tblPrEx>
        <w:trPr>
          <w:trHeight w:val="328"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79565918">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46849F28">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6D2BAE9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医疗智能体发布及运营</w:t>
            </w:r>
          </w:p>
        </w:tc>
        <w:tc>
          <w:tcPr>
            <w:tcW w:w="1969" w:type="pct"/>
            <w:tcBorders>
              <w:top w:val="nil"/>
              <w:left w:val="nil"/>
              <w:bottom w:val="single" w:color="auto" w:sz="4" w:space="0"/>
              <w:right w:val="single" w:color="auto" w:sz="4" w:space="0"/>
            </w:tcBorders>
            <w:noWrap w:val="0"/>
            <w:vAlign w:val="center"/>
          </w:tcPr>
          <w:p w14:paraId="0F06730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多渠道发布管理</w:t>
            </w:r>
          </w:p>
        </w:tc>
        <w:tc>
          <w:tcPr>
            <w:tcW w:w="490" w:type="pct"/>
            <w:vMerge w:val="restart"/>
            <w:tcBorders>
              <w:top w:val="nil"/>
              <w:left w:val="nil"/>
              <w:right w:val="single" w:color="auto" w:sz="4" w:space="0"/>
            </w:tcBorders>
            <w:noWrap w:val="0"/>
            <w:vAlign w:val="center"/>
          </w:tcPr>
          <w:p w14:paraId="02FDDD1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7D4BE4D4">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1E9D6CD7">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67A1BC3">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3B5AC327">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44EFC46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数据可视化运营管理</w:t>
            </w:r>
          </w:p>
        </w:tc>
        <w:tc>
          <w:tcPr>
            <w:tcW w:w="490" w:type="pct"/>
            <w:vMerge w:val="continue"/>
            <w:tcBorders>
              <w:left w:val="nil"/>
              <w:right w:val="single" w:color="auto" w:sz="4" w:space="0"/>
            </w:tcBorders>
            <w:noWrap w:val="0"/>
            <w:vAlign w:val="center"/>
          </w:tcPr>
          <w:p w14:paraId="362B8427">
            <w:pPr>
              <w:autoSpaceDE w:val="0"/>
              <w:autoSpaceDN w:val="0"/>
              <w:adjustRightInd w:val="0"/>
              <w:spacing w:line="360" w:lineRule="auto"/>
              <w:jc w:val="left"/>
              <w:rPr>
                <w:rFonts w:hint="eastAsia" w:ascii="宋体" w:hAnsi="宋体" w:eastAsia="宋体" w:cs="宋体"/>
                <w:kern w:val="0"/>
                <w:sz w:val="24"/>
                <w:szCs w:val="24"/>
              </w:rPr>
            </w:pPr>
          </w:p>
        </w:tc>
      </w:tr>
      <w:tr w14:paraId="69CB2E13">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4318DA77">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10B2838">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6FE099EE">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7EDCAD1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对话日志与统计</w:t>
            </w:r>
          </w:p>
        </w:tc>
        <w:tc>
          <w:tcPr>
            <w:tcW w:w="490" w:type="pct"/>
            <w:vMerge w:val="continue"/>
            <w:tcBorders>
              <w:left w:val="nil"/>
              <w:bottom w:val="single" w:color="auto" w:sz="4" w:space="0"/>
              <w:right w:val="single" w:color="auto" w:sz="4" w:space="0"/>
            </w:tcBorders>
            <w:noWrap w:val="0"/>
            <w:vAlign w:val="center"/>
          </w:tcPr>
          <w:p w14:paraId="54FE200C">
            <w:pPr>
              <w:autoSpaceDE w:val="0"/>
              <w:autoSpaceDN w:val="0"/>
              <w:adjustRightInd w:val="0"/>
              <w:spacing w:line="360" w:lineRule="auto"/>
              <w:jc w:val="left"/>
              <w:rPr>
                <w:rFonts w:hint="eastAsia" w:ascii="宋体" w:hAnsi="宋体" w:eastAsia="宋体" w:cs="宋体"/>
                <w:kern w:val="0"/>
                <w:sz w:val="24"/>
                <w:szCs w:val="24"/>
              </w:rPr>
            </w:pPr>
          </w:p>
        </w:tc>
      </w:tr>
      <w:tr w14:paraId="6A362AAB">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2D5C1CF3">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69E895D3">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58C7F4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语料管理库与配置</w:t>
            </w:r>
          </w:p>
        </w:tc>
        <w:tc>
          <w:tcPr>
            <w:tcW w:w="1969" w:type="pct"/>
            <w:tcBorders>
              <w:top w:val="nil"/>
              <w:left w:val="nil"/>
              <w:bottom w:val="single" w:color="auto" w:sz="4" w:space="0"/>
              <w:right w:val="single" w:color="auto" w:sz="4" w:space="0"/>
            </w:tcBorders>
            <w:noWrap w:val="0"/>
            <w:vAlign w:val="center"/>
          </w:tcPr>
          <w:p w14:paraId="106FC76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语料库管理</w:t>
            </w:r>
          </w:p>
        </w:tc>
        <w:tc>
          <w:tcPr>
            <w:tcW w:w="490" w:type="pct"/>
            <w:vMerge w:val="restart"/>
            <w:tcBorders>
              <w:top w:val="nil"/>
              <w:left w:val="nil"/>
              <w:right w:val="single" w:color="auto" w:sz="4" w:space="0"/>
            </w:tcBorders>
            <w:noWrap w:val="0"/>
            <w:vAlign w:val="center"/>
          </w:tcPr>
          <w:p w14:paraId="6B46ED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45543488">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0C60A248">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2A6E3CED">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315E0799">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2A5502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语料库向量化配置</w:t>
            </w:r>
          </w:p>
        </w:tc>
        <w:tc>
          <w:tcPr>
            <w:tcW w:w="490" w:type="pct"/>
            <w:vMerge w:val="continue"/>
            <w:tcBorders>
              <w:left w:val="nil"/>
              <w:right w:val="single" w:color="auto" w:sz="4" w:space="0"/>
            </w:tcBorders>
            <w:noWrap w:val="0"/>
            <w:vAlign w:val="center"/>
          </w:tcPr>
          <w:p w14:paraId="3A8D2E8C">
            <w:pPr>
              <w:autoSpaceDE w:val="0"/>
              <w:autoSpaceDN w:val="0"/>
              <w:adjustRightInd w:val="0"/>
              <w:spacing w:line="360" w:lineRule="auto"/>
              <w:jc w:val="left"/>
              <w:rPr>
                <w:rFonts w:hint="eastAsia" w:ascii="宋体" w:hAnsi="宋体" w:eastAsia="宋体" w:cs="宋体"/>
                <w:kern w:val="0"/>
                <w:sz w:val="24"/>
                <w:szCs w:val="24"/>
              </w:rPr>
            </w:pPr>
          </w:p>
        </w:tc>
      </w:tr>
      <w:tr w14:paraId="61B4B77D">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3146DE0E">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36C1834">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0DEBDA10">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30A7A6D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语料库召回相关配置</w:t>
            </w:r>
          </w:p>
        </w:tc>
        <w:tc>
          <w:tcPr>
            <w:tcW w:w="490" w:type="pct"/>
            <w:vMerge w:val="continue"/>
            <w:tcBorders>
              <w:left w:val="nil"/>
              <w:right w:val="single" w:color="auto" w:sz="4" w:space="0"/>
            </w:tcBorders>
            <w:noWrap w:val="0"/>
            <w:vAlign w:val="center"/>
          </w:tcPr>
          <w:p w14:paraId="5F182D1C">
            <w:pPr>
              <w:autoSpaceDE w:val="0"/>
              <w:autoSpaceDN w:val="0"/>
              <w:adjustRightInd w:val="0"/>
              <w:spacing w:line="360" w:lineRule="auto"/>
              <w:jc w:val="left"/>
              <w:rPr>
                <w:rFonts w:hint="eastAsia" w:ascii="宋体" w:hAnsi="宋体" w:eastAsia="宋体" w:cs="宋体"/>
                <w:kern w:val="0"/>
                <w:sz w:val="24"/>
                <w:szCs w:val="24"/>
              </w:rPr>
            </w:pPr>
          </w:p>
        </w:tc>
      </w:tr>
      <w:tr w14:paraId="3A630944">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13DB972E">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1B47FEC9">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29C183FD">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453206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语料库召回测试</w:t>
            </w:r>
          </w:p>
        </w:tc>
        <w:tc>
          <w:tcPr>
            <w:tcW w:w="490" w:type="pct"/>
            <w:vMerge w:val="continue"/>
            <w:tcBorders>
              <w:left w:val="nil"/>
              <w:bottom w:val="single" w:color="auto" w:sz="4" w:space="0"/>
              <w:right w:val="single" w:color="auto" w:sz="4" w:space="0"/>
            </w:tcBorders>
            <w:noWrap w:val="0"/>
            <w:vAlign w:val="center"/>
          </w:tcPr>
          <w:p w14:paraId="33F3F630">
            <w:pPr>
              <w:autoSpaceDE w:val="0"/>
              <w:autoSpaceDN w:val="0"/>
              <w:adjustRightInd w:val="0"/>
              <w:spacing w:line="360" w:lineRule="auto"/>
              <w:jc w:val="left"/>
              <w:rPr>
                <w:rFonts w:hint="eastAsia" w:ascii="宋体" w:hAnsi="宋体" w:eastAsia="宋体" w:cs="宋体"/>
                <w:kern w:val="0"/>
                <w:sz w:val="24"/>
                <w:szCs w:val="24"/>
              </w:rPr>
            </w:pPr>
          </w:p>
        </w:tc>
      </w:tr>
      <w:tr w14:paraId="23B42190">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4A2E13EE">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602A05B2">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2CB373D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工作流绘制与管理</w:t>
            </w:r>
          </w:p>
        </w:tc>
        <w:tc>
          <w:tcPr>
            <w:tcW w:w="1969" w:type="pct"/>
            <w:tcBorders>
              <w:top w:val="nil"/>
              <w:left w:val="nil"/>
              <w:bottom w:val="single" w:color="auto" w:sz="4" w:space="0"/>
              <w:right w:val="single" w:color="auto" w:sz="4" w:space="0"/>
            </w:tcBorders>
            <w:noWrap w:val="0"/>
            <w:vAlign w:val="center"/>
          </w:tcPr>
          <w:p w14:paraId="02390A5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工作流可视化绘制</w:t>
            </w:r>
          </w:p>
        </w:tc>
        <w:tc>
          <w:tcPr>
            <w:tcW w:w="490" w:type="pct"/>
            <w:vMerge w:val="restart"/>
            <w:tcBorders>
              <w:top w:val="nil"/>
              <w:left w:val="nil"/>
              <w:right w:val="single" w:color="auto" w:sz="4" w:space="0"/>
            </w:tcBorders>
            <w:noWrap w:val="0"/>
            <w:vAlign w:val="center"/>
          </w:tcPr>
          <w:p w14:paraId="2D41943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016A7922">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5AD2A912">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0C17983">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0BA3FB94">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32EE366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工作流智能体编排</w:t>
            </w:r>
          </w:p>
        </w:tc>
        <w:tc>
          <w:tcPr>
            <w:tcW w:w="490" w:type="pct"/>
            <w:vMerge w:val="continue"/>
            <w:tcBorders>
              <w:left w:val="nil"/>
              <w:right w:val="single" w:color="auto" w:sz="4" w:space="0"/>
            </w:tcBorders>
            <w:noWrap w:val="0"/>
            <w:vAlign w:val="center"/>
          </w:tcPr>
          <w:p w14:paraId="62B96D4C">
            <w:pPr>
              <w:autoSpaceDE w:val="0"/>
              <w:autoSpaceDN w:val="0"/>
              <w:adjustRightInd w:val="0"/>
              <w:spacing w:line="360" w:lineRule="auto"/>
              <w:jc w:val="left"/>
              <w:rPr>
                <w:rFonts w:hint="eastAsia" w:ascii="宋体" w:hAnsi="宋体" w:eastAsia="宋体" w:cs="宋体"/>
                <w:kern w:val="0"/>
                <w:sz w:val="24"/>
                <w:szCs w:val="24"/>
              </w:rPr>
            </w:pPr>
          </w:p>
        </w:tc>
      </w:tr>
      <w:tr w14:paraId="570F3AE4">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2D5DD4A6">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03CA3F11">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1D4DF5A7">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341E9AB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工作流列表管理</w:t>
            </w:r>
          </w:p>
        </w:tc>
        <w:tc>
          <w:tcPr>
            <w:tcW w:w="490" w:type="pct"/>
            <w:vMerge w:val="continue"/>
            <w:tcBorders>
              <w:left w:val="nil"/>
              <w:bottom w:val="single" w:color="auto" w:sz="4" w:space="0"/>
              <w:right w:val="single" w:color="auto" w:sz="4" w:space="0"/>
            </w:tcBorders>
            <w:noWrap w:val="0"/>
            <w:vAlign w:val="center"/>
          </w:tcPr>
          <w:p w14:paraId="30CD0053">
            <w:pPr>
              <w:autoSpaceDE w:val="0"/>
              <w:autoSpaceDN w:val="0"/>
              <w:adjustRightInd w:val="0"/>
              <w:spacing w:line="360" w:lineRule="auto"/>
              <w:jc w:val="left"/>
              <w:rPr>
                <w:rFonts w:hint="eastAsia" w:ascii="宋体" w:hAnsi="宋体" w:eastAsia="宋体" w:cs="宋体"/>
                <w:kern w:val="0"/>
                <w:sz w:val="24"/>
                <w:szCs w:val="24"/>
              </w:rPr>
            </w:pPr>
          </w:p>
        </w:tc>
      </w:tr>
      <w:tr w14:paraId="3AF78BDE">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237DF308">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1D2F427B">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1229780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多功能插件管理</w:t>
            </w:r>
          </w:p>
        </w:tc>
        <w:tc>
          <w:tcPr>
            <w:tcW w:w="1969" w:type="pct"/>
            <w:tcBorders>
              <w:top w:val="nil"/>
              <w:left w:val="nil"/>
              <w:bottom w:val="single" w:color="auto" w:sz="4" w:space="0"/>
              <w:right w:val="single" w:color="auto" w:sz="4" w:space="0"/>
            </w:tcBorders>
            <w:noWrap w:val="0"/>
            <w:vAlign w:val="center"/>
          </w:tcPr>
          <w:p w14:paraId="6EDEF0C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插件定义和使用</w:t>
            </w:r>
          </w:p>
        </w:tc>
        <w:tc>
          <w:tcPr>
            <w:tcW w:w="490" w:type="pct"/>
            <w:vMerge w:val="restart"/>
            <w:tcBorders>
              <w:top w:val="nil"/>
              <w:left w:val="nil"/>
              <w:right w:val="single" w:color="auto" w:sz="4" w:space="0"/>
            </w:tcBorders>
            <w:noWrap w:val="0"/>
            <w:vAlign w:val="center"/>
          </w:tcPr>
          <w:p w14:paraId="50044CF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6F30365C">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1751AA54">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53380D8D">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32BD5FC4">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7153EC6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多维度插件分析</w:t>
            </w:r>
          </w:p>
        </w:tc>
        <w:tc>
          <w:tcPr>
            <w:tcW w:w="490" w:type="pct"/>
            <w:vMerge w:val="continue"/>
            <w:tcBorders>
              <w:left w:val="nil"/>
              <w:bottom w:val="single" w:color="auto" w:sz="4" w:space="0"/>
              <w:right w:val="single" w:color="auto" w:sz="4" w:space="0"/>
            </w:tcBorders>
            <w:noWrap w:val="0"/>
            <w:vAlign w:val="center"/>
          </w:tcPr>
          <w:p w14:paraId="73F0D590">
            <w:pPr>
              <w:autoSpaceDE w:val="0"/>
              <w:autoSpaceDN w:val="0"/>
              <w:adjustRightInd w:val="0"/>
              <w:spacing w:line="360" w:lineRule="auto"/>
              <w:jc w:val="left"/>
              <w:rPr>
                <w:rFonts w:hint="eastAsia" w:ascii="宋体" w:hAnsi="宋体" w:eastAsia="宋体" w:cs="宋体"/>
                <w:kern w:val="0"/>
                <w:sz w:val="24"/>
                <w:szCs w:val="24"/>
              </w:rPr>
            </w:pPr>
          </w:p>
        </w:tc>
      </w:tr>
      <w:tr w14:paraId="7B5E0F3E">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630568E0">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69478421">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3A77D10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用户管理中心</w:t>
            </w:r>
          </w:p>
        </w:tc>
        <w:tc>
          <w:tcPr>
            <w:tcW w:w="1969" w:type="pct"/>
            <w:tcBorders>
              <w:top w:val="nil"/>
              <w:left w:val="nil"/>
              <w:bottom w:val="single" w:color="auto" w:sz="4" w:space="0"/>
              <w:right w:val="single" w:color="auto" w:sz="4" w:space="0"/>
            </w:tcBorders>
            <w:noWrap w:val="0"/>
            <w:vAlign w:val="center"/>
          </w:tcPr>
          <w:p w14:paraId="5DE1144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多角色权限管理</w:t>
            </w:r>
          </w:p>
        </w:tc>
        <w:tc>
          <w:tcPr>
            <w:tcW w:w="490" w:type="pct"/>
            <w:vMerge w:val="restart"/>
            <w:tcBorders>
              <w:top w:val="nil"/>
              <w:left w:val="nil"/>
              <w:right w:val="single" w:color="auto" w:sz="4" w:space="0"/>
            </w:tcBorders>
            <w:noWrap w:val="0"/>
            <w:vAlign w:val="center"/>
          </w:tcPr>
          <w:p w14:paraId="05DDD01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1A26DBDB">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63872E10">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2041EB41">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096DC3FB">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1F68685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统一广播与个性化订阅</w:t>
            </w:r>
          </w:p>
        </w:tc>
        <w:tc>
          <w:tcPr>
            <w:tcW w:w="490" w:type="pct"/>
            <w:vMerge w:val="continue"/>
            <w:tcBorders>
              <w:left w:val="nil"/>
              <w:bottom w:val="single" w:color="auto" w:sz="4" w:space="0"/>
              <w:right w:val="single" w:color="auto" w:sz="4" w:space="0"/>
            </w:tcBorders>
            <w:noWrap w:val="0"/>
            <w:vAlign w:val="center"/>
          </w:tcPr>
          <w:p w14:paraId="03E65935">
            <w:pPr>
              <w:autoSpaceDE w:val="0"/>
              <w:autoSpaceDN w:val="0"/>
              <w:adjustRightInd w:val="0"/>
              <w:spacing w:line="360" w:lineRule="auto"/>
              <w:jc w:val="left"/>
              <w:rPr>
                <w:rFonts w:hint="eastAsia" w:ascii="宋体" w:hAnsi="宋体" w:eastAsia="宋体" w:cs="宋体"/>
                <w:kern w:val="0"/>
                <w:sz w:val="24"/>
                <w:szCs w:val="24"/>
              </w:rPr>
            </w:pPr>
          </w:p>
        </w:tc>
      </w:tr>
      <w:tr w14:paraId="768C1ED1">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4D37CCB1">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60D8FEA">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4180EF1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安全管理中心</w:t>
            </w:r>
          </w:p>
        </w:tc>
        <w:tc>
          <w:tcPr>
            <w:tcW w:w="1969" w:type="pct"/>
            <w:tcBorders>
              <w:top w:val="nil"/>
              <w:left w:val="nil"/>
              <w:bottom w:val="single" w:color="auto" w:sz="4" w:space="0"/>
              <w:right w:val="single" w:color="auto" w:sz="4" w:space="0"/>
            </w:tcBorders>
            <w:noWrap w:val="0"/>
            <w:vAlign w:val="center"/>
          </w:tcPr>
          <w:p w14:paraId="1E4D02A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安全监控管理</w:t>
            </w:r>
          </w:p>
        </w:tc>
        <w:tc>
          <w:tcPr>
            <w:tcW w:w="490" w:type="pct"/>
            <w:vMerge w:val="restart"/>
            <w:tcBorders>
              <w:top w:val="nil"/>
              <w:left w:val="nil"/>
              <w:right w:val="single" w:color="auto" w:sz="4" w:space="0"/>
            </w:tcBorders>
            <w:noWrap w:val="0"/>
            <w:vAlign w:val="center"/>
          </w:tcPr>
          <w:p w14:paraId="4524F4B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391907E7">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3E117CF1">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69D7036">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4EFD378E">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28C2AEF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安全策略管理</w:t>
            </w:r>
          </w:p>
        </w:tc>
        <w:tc>
          <w:tcPr>
            <w:tcW w:w="490" w:type="pct"/>
            <w:vMerge w:val="continue"/>
            <w:tcBorders>
              <w:left w:val="nil"/>
              <w:bottom w:val="single" w:color="auto" w:sz="4" w:space="0"/>
              <w:right w:val="single" w:color="auto" w:sz="4" w:space="0"/>
            </w:tcBorders>
            <w:noWrap w:val="0"/>
            <w:vAlign w:val="center"/>
          </w:tcPr>
          <w:p w14:paraId="5A5A5C02">
            <w:pPr>
              <w:autoSpaceDE w:val="0"/>
              <w:autoSpaceDN w:val="0"/>
              <w:adjustRightInd w:val="0"/>
              <w:spacing w:line="360" w:lineRule="auto"/>
              <w:jc w:val="left"/>
              <w:rPr>
                <w:rFonts w:hint="eastAsia" w:ascii="宋体" w:hAnsi="宋体" w:eastAsia="宋体" w:cs="宋体"/>
                <w:kern w:val="0"/>
                <w:sz w:val="24"/>
                <w:szCs w:val="24"/>
              </w:rPr>
            </w:pPr>
          </w:p>
        </w:tc>
      </w:tr>
      <w:tr w14:paraId="796B8E1E">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0F5A8332">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13E481EF">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1E44AC7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模板集市管理</w:t>
            </w:r>
          </w:p>
        </w:tc>
        <w:tc>
          <w:tcPr>
            <w:tcW w:w="1969" w:type="pct"/>
            <w:tcBorders>
              <w:top w:val="nil"/>
              <w:left w:val="nil"/>
              <w:bottom w:val="single" w:color="auto" w:sz="4" w:space="0"/>
              <w:right w:val="single" w:color="auto" w:sz="4" w:space="0"/>
            </w:tcBorders>
            <w:noWrap w:val="0"/>
            <w:vAlign w:val="center"/>
          </w:tcPr>
          <w:p w14:paraId="6DFB0C6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官方医疗场景模板</w:t>
            </w:r>
          </w:p>
        </w:tc>
        <w:tc>
          <w:tcPr>
            <w:tcW w:w="490" w:type="pct"/>
            <w:vMerge w:val="restart"/>
            <w:tcBorders>
              <w:top w:val="nil"/>
              <w:left w:val="nil"/>
              <w:right w:val="single" w:color="auto" w:sz="4" w:space="0"/>
            </w:tcBorders>
            <w:noWrap w:val="0"/>
            <w:vAlign w:val="center"/>
          </w:tcPr>
          <w:p w14:paraId="2322C15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321BBCAD">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5CC7A5E9">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00158882">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noWrap w:val="0"/>
            <w:vAlign w:val="center"/>
          </w:tcPr>
          <w:p w14:paraId="719D7786">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noWrap w:val="0"/>
            <w:vAlign w:val="center"/>
          </w:tcPr>
          <w:p w14:paraId="318BDD8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自定义模板与一键复制</w:t>
            </w:r>
          </w:p>
        </w:tc>
        <w:tc>
          <w:tcPr>
            <w:tcW w:w="490" w:type="pct"/>
            <w:vMerge w:val="continue"/>
            <w:tcBorders>
              <w:left w:val="nil"/>
              <w:bottom w:val="single" w:color="auto" w:sz="4" w:space="0"/>
              <w:right w:val="single" w:color="auto" w:sz="4" w:space="0"/>
            </w:tcBorders>
            <w:noWrap w:val="0"/>
            <w:vAlign w:val="center"/>
          </w:tcPr>
          <w:p w14:paraId="3974E292">
            <w:pPr>
              <w:autoSpaceDE w:val="0"/>
              <w:autoSpaceDN w:val="0"/>
              <w:adjustRightInd w:val="0"/>
              <w:spacing w:line="360" w:lineRule="auto"/>
              <w:jc w:val="left"/>
              <w:rPr>
                <w:rFonts w:hint="eastAsia" w:ascii="宋体" w:hAnsi="宋体" w:eastAsia="宋体" w:cs="宋体"/>
                <w:kern w:val="0"/>
                <w:sz w:val="24"/>
                <w:szCs w:val="24"/>
              </w:rPr>
            </w:pPr>
          </w:p>
        </w:tc>
      </w:tr>
      <w:tr w14:paraId="4BC5E2C0">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noWrap w:val="0"/>
            <w:vAlign w:val="center"/>
          </w:tcPr>
          <w:p w14:paraId="766363D0">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noWrap w:val="0"/>
            <w:vAlign w:val="center"/>
          </w:tcPr>
          <w:p w14:paraId="7FE4B747">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restart"/>
            <w:tcBorders>
              <w:top w:val="nil"/>
              <w:left w:val="single" w:color="auto" w:sz="4" w:space="0"/>
              <w:bottom w:val="single" w:color="auto" w:sz="4" w:space="0"/>
              <w:right w:val="single" w:color="auto" w:sz="4" w:space="0"/>
            </w:tcBorders>
            <w:noWrap w:val="0"/>
            <w:vAlign w:val="center"/>
          </w:tcPr>
          <w:p w14:paraId="0538E56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消息中心</w:t>
            </w:r>
          </w:p>
        </w:tc>
        <w:tc>
          <w:tcPr>
            <w:tcW w:w="1969" w:type="pct"/>
            <w:tcBorders>
              <w:top w:val="nil"/>
              <w:left w:val="nil"/>
              <w:bottom w:val="single" w:color="auto" w:sz="4" w:space="0"/>
              <w:right w:val="single" w:color="auto" w:sz="4" w:space="0"/>
            </w:tcBorders>
            <w:noWrap w:val="0"/>
            <w:vAlign w:val="center"/>
          </w:tcPr>
          <w:p w14:paraId="01263B2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平台通报与协作提醒</w:t>
            </w:r>
          </w:p>
        </w:tc>
        <w:tc>
          <w:tcPr>
            <w:tcW w:w="490" w:type="pct"/>
            <w:vMerge w:val="restart"/>
            <w:tcBorders>
              <w:top w:val="nil"/>
              <w:left w:val="nil"/>
              <w:right w:val="single" w:color="auto" w:sz="4" w:space="0"/>
            </w:tcBorders>
            <w:noWrap w:val="0"/>
            <w:vAlign w:val="center"/>
          </w:tcPr>
          <w:p w14:paraId="69BC48D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3B135694">
        <w:tblPrEx>
          <w:tblCellMar>
            <w:top w:w="0" w:type="dxa"/>
            <w:left w:w="108" w:type="dxa"/>
            <w:bottom w:w="0" w:type="dxa"/>
            <w:right w:w="108" w:type="dxa"/>
          </w:tblCellMar>
        </w:tblPrEx>
        <w:trPr>
          <w:trHeight w:val="312" w:hRule="atLeast"/>
        </w:trPr>
        <w:tc>
          <w:tcPr>
            <w:tcW w:w="682"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6DF80371">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5F64E933">
            <w:pPr>
              <w:autoSpaceDE w:val="0"/>
              <w:autoSpaceDN w:val="0"/>
              <w:adjustRightInd w:val="0"/>
              <w:spacing w:line="360" w:lineRule="auto"/>
              <w:jc w:val="left"/>
              <w:rPr>
                <w:rFonts w:hint="eastAsia" w:ascii="宋体" w:hAnsi="宋体" w:eastAsia="宋体" w:cs="宋体"/>
                <w:kern w:val="0"/>
                <w:sz w:val="24"/>
                <w:szCs w:val="24"/>
              </w:rPr>
            </w:pPr>
          </w:p>
        </w:tc>
        <w:tc>
          <w:tcPr>
            <w:tcW w:w="116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6A3AED6B">
            <w:pPr>
              <w:autoSpaceDE w:val="0"/>
              <w:autoSpaceDN w:val="0"/>
              <w:adjustRightInd w:val="0"/>
              <w:spacing w:line="360" w:lineRule="auto"/>
              <w:jc w:val="left"/>
              <w:rPr>
                <w:rFonts w:hint="eastAsia" w:ascii="宋体" w:hAnsi="宋体" w:eastAsia="宋体" w:cs="宋体"/>
                <w:kern w:val="0"/>
                <w:sz w:val="24"/>
                <w:szCs w:val="24"/>
              </w:rPr>
            </w:pPr>
          </w:p>
        </w:tc>
        <w:tc>
          <w:tcPr>
            <w:tcW w:w="1969" w:type="pct"/>
            <w:tcBorders>
              <w:top w:val="nil"/>
              <w:left w:val="nil"/>
              <w:bottom w:val="single" w:color="auto" w:sz="4" w:space="0"/>
              <w:right w:val="single" w:color="auto" w:sz="4" w:space="0"/>
            </w:tcBorders>
            <w:shd w:val="clear" w:color="auto" w:fill="auto"/>
            <w:noWrap/>
            <w:vAlign w:val="bottom"/>
          </w:tcPr>
          <w:p w14:paraId="6FC780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多维度过滤与归档</w:t>
            </w:r>
          </w:p>
        </w:tc>
        <w:tc>
          <w:tcPr>
            <w:tcW w:w="490" w:type="pct"/>
            <w:vMerge w:val="continue"/>
            <w:tcBorders>
              <w:left w:val="nil"/>
              <w:bottom w:val="single" w:color="auto" w:sz="4" w:space="0"/>
              <w:right w:val="single" w:color="auto" w:sz="4" w:space="0"/>
            </w:tcBorders>
            <w:shd w:val="clear" w:color="000000" w:fill="FFFFFF"/>
            <w:noWrap w:val="0"/>
            <w:vAlign w:val="center"/>
          </w:tcPr>
          <w:p w14:paraId="001B6FAB">
            <w:pPr>
              <w:autoSpaceDE w:val="0"/>
              <w:autoSpaceDN w:val="0"/>
              <w:adjustRightInd w:val="0"/>
              <w:spacing w:line="360" w:lineRule="auto"/>
              <w:jc w:val="left"/>
              <w:rPr>
                <w:rFonts w:hint="eastAsia" w:ascii="宋体" w:hAnsi="宋体" w:eastAsia="宋体" w:cs="宋体"/>
                <w:kern w:val="0"/>
                <w:sz w:val="24"/>
                <w:szCs w:val="24"/>
              </w:rPr>
            </w:pPr>
          </w:p>
        </w:tc>
      </w:tr>
    </w:tbl>
    <w:p w14:paraId="13BA1423">
      <w:pPr>
        <w:autoSpaceDE w:val="0"/>
        <w:autoSpaceDN w:val="0"/>
        <w:adjustRightInd w:val="0"/>
        <w:spacing w:line="360" w:lineRule="auto"/>
        <w:jc w:val="left"/>
        <w:rPr>
          <w:rFonts w:hint="eastAsia" w:ascii="宋体" w:hAnsi="宋体" w:eastAsia="宋体" w:cs="宋体"/>
          <w:kern w:val="0"/>
          <w:sz w:val="24"/>
          <w:szCs w:val="24"/>
        </w:rPr>
      </w:pPr>
    </w:p>
    <w:p w14:paraId="615EC96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三、技术需求</w:t>
      </w:r>
    </w:p>
    <w:p w14:paraId="0432299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（一）医疗大语言模型</w:t>
      </w:r>
    </w:p>
    <w:p w14:paraId="3382E9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（1）模型知识体系</w:t>
      </w:r>
    </w:p>
    <w:p w14:paraId="4D927C2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1.多来源高质量医学训练数据</w:t>
      </w:r>
    </w:p>
    <w:p w14:paraId="714A1FD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1.1模型以广泛且高质量的医学知识数据进行训练，数据范围涵盖医学教材、权威医学指南、临床路径、药品库、疾病库、体检报告等。</w:t>
      </w:r>
    </w:p>
    <w:p w14:paraId="00690AC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1.2利用多种指令数据集进行模型训练，包括医疗指令数据集、通用领域指令数据集、医疗领域知识类数据集、通用领域知识类数据集等。</w:t>
      </w:r>
    </w:p>
    <w:p w14:paraId="1CF703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2.多维度医学领域覆盖</w:t>
      </w:r>
    </w:p>
    <w:p w14:paraId="1BC600E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2.1模型可覆盖内科、外科、妇产科、儿科、影像科、检验科、护理学、公共卫生学、药理学等多专业子领域，为临床与科研提供知识支持。</w:t>
      </w:r>
    </w:p>
    <w:p w14:paraId="30A57AC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2.2对医学术语、药品通用名/商品名等关键信息具有较高识别与理解能力。</w:t>
      </w:r>
    </w:p>
    <w:p w14:paraId="0D5FF78B">
      <w:pPr>
        <w:autoSpaceDE w:val="0"/>
        <w:autoSpaceDN w:val="0"/>
        <w:adjustRightInd w:val="0"/>
        <w:spacing w:line="360" w:lineRule="auto"/>
        <w:jc w:val="left"/>
        <w:rPr>
          <w:rFonts w:hint="eastAsia" w:ascii="宋体" w:hAnsi="宋体" w:eastAsia="宋体" w:cs="宋体"/>
          <w:kern w:val="0"/>
          <w:sz w:val="24"/>
          <w:szCs w:val="24"/>
        </w:rPr>
      </w:pPr>
    </w:p>
    <w:p w14:paraId="736B62D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（2）模型理解能力</w:t>
      </w:r>
    </w:p>
    <w:p w14:paraId="507AA28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1.文本理解与多轮对话</w:t>
      </w:r>
    </w:p>
    <w:p w14:paraId="7CB47E3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1.1具备强大的自然语言理解能力，能够识别医学领域的专业术语、缩写以及上下文关联含义。</w:t>
      </w:r>
    </w:p>
    <w:p w14:paraId="0FE7F45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1.2在多轮对话中能保持对话上下文信息，记忆用户先前提供的病症描述、检查结果等，提供连贯、准确的答复。</w:t>
      </w:r>
    </w:p>
    <w:p w14:paraId="03AD9C4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2.意图识别与意图分类</w:t>
      </w:r>
    </w:p>
    <w:p w14:paraId="09B348A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2.1能够将自然语言文本解析为机器可理解的结构化信息，并自动识别患者、医生或其他医疗人员的真正意图。</w:t>
      </w:r>
    </w:p>
    <w:p w14:paraId="2D76209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2.2针对不同的咨询类型（如问诊、科普、用药咨询、流程咨询等）进行分类，并选择对应的专业回答策略。</w:t>
      </w:r>
    </w:p>
    <w:p w14:paraId="3DFAE4C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3.语义推理与医学逻辑判断</w:t>
      </w:r>
    </w:p>
    <w:p w14:paraId="041F33E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3.1具备语义推理能力，可对临床路径、用药方案、检验结果等进行综合判断，帮助医生或患者进行初步的信息筛选或逻辑分析。</w:t>
      </w:r>
    </w:p>
    <w:p w14:paraId="1EDFDCB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3.2可根据疾病与症状之间的关联关系，给出差异化诊断思路或建议供就诊科室参考。</w:t>
      </w:r>
    </w:p>
    <w:p w14:paraId="376E12FF">
      <w:pPr>
        <w:autoSpaceDE w:val="0"/>
        <w:autoSpaceDN w:val="0"/>
        <w:adjustRightInd w:val="0"/>
        <w:spacing w:line="360" w:lineRule="auto"/>
        <w:jc w:val="left"/>
        <w:rPr>
          <w:rFonts w:hint="eastAsia" w:ascii="宋体" w:hAnsi="宋体" w:eastAsia="宋体" w:cs="宋体"/>
          <w:kern w:val="0"/>
          <w:sz w:val="24"/>
          <w:szCs w:val="24"/>
        </w:rPr>
      </w:pPr>
    </w:p>
    <w:p w14:paraId="6F53CCF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（3）模型知识库挂载能力</w:t>
      </w:r>
    </w:p>
    <w:p w14:paraId="10957F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1.知识库插件集成</w:t>
      </w:r>
    </w:p>
    <w:p w14:paraId="2A5F41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1.1模型可支持与外部知识库或插件服务进行挂载。</w:t>
      </w:r>
    </w:p>
    <w:p w14:paraId="43F4F58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1.2支持通过API或向量检索等方式实现对海量专业医学资料的实时查询与总结。</w:t>
      </w:r>
    </w:p>
    <w:p w14:paraId="6F6AB1A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2.文档库集成能力</w:t>
      </w:r>
    </w:p>
    <w:p w14:paraId="673E830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2.1支持与文档库进行对接。</w:t>
      </w:r>
    </w:p>
    <w:p w14:paraId="1CFEAA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2.2支持动态调用最新病例库、用药方案库、临床指南库等。</w:t>
      </w:r>
    </w:p>
    <w:p w14:paraId="00009F45">
      <w:pPr>
        <w:autoSpaceDE w:val="0"/>
        <w:autoSpaceDN w:val="0"/>
        <w:adjustRightInd w:val="0"/>
        <w:spacing w:line="360" w:lineRule="auto"/>
        <w:jc w:val="left"/>
        <w:rPr>
          <w:rFonts w:hint="eastAsia" w:ascii="宋体" w:hAnsi="宋体" w:eastAsia="宋体" w:cs="宋体"/>
          <w:kern w:val="0"/>
          <w:sz w:val="24"/>
          <w:szCs w:val="24"/>
        </w:rPr>
      </w:pPr>
    </w:p>
    <w:p w14:paraId="5AE71A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（4）长程记忆存储与长文本能力</w:t>
      </w:r>
    </w:p>
    <w:p w14:paraId="4F08B5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1.长程记忆存储能力</w:t>
      </w:r>
    </w:p>
    <w:p w14:paraId="4833E01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1.1内置长程记忆存储能力，可在与用户的长期交互过程中保留并更新关键上下文信息（如历史病历、对话记录、检查结果等），为下一步对话提供连续性支持。</w:t>
      </w:r>
    </w:p>
    <w:p w14:paraId="5B550E7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1.2支持根据交互的实际需求动态调整记忆的深度和更新频率，在多次对话中精准把握用户需求。</w:t>
      </w:r>
    </w:p>
    <w:p w14:paraId="3D4878A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2.长文本能力</w:t>
      </w:r>
    </w:p>
    <w:p w14:paraId="3F7DDD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2.1具备长文本处理和理解能力，能够高效解析并提取文本中的关键信息，支持对多段、长篇文本的高质量理解与分析。</w:t>
      </w:r>
    </w:p>
    <w:p w14:paraId="37D9C2C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2.2在面对长文本时，能够灵活应对并保持文本间的逻辑连贯性，快速识别文本中的上下文关系和重要数据点。</w:t>
      </w:r>
    </w:p>
    <w:p w14:paraId="0F8FB09D">
      <w:pPr>
        <w:autoSpaceDE w:val="0"/>
        <w:autoSpaceDN w:val="0"/>
        <w:adjustRightInd w:val="0"/>
        <w:spacing w:line="360" w:lineRule="auto"/>
        <w:jc w:val="left"/>
        <w:rPr>
          <w:rFonts w:hint="eastAsia" w:ascii="宋体" w:hAnsi="宋体" w:eastAsia="宋体" w:cs="宋体"/>
          <w:kern w:val="0"/>
          <w:sz w:val="24"/>
          <w:szCs w:val="24"/>
        </w:rPr>
      </w:pPr>
    </w:p>
    <w:p w14:paraId="13026BA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（5）大模型工程化能力</w:t>
      </w:r>
    </w:p>
    <w:p w14:paraId="2015B0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1.高可塑性提示工程优化</w:t>
      </w:r>
    </w:p>
    <w:p w14:paraId="2C903F4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▲1.1支持提示工程能力：具备提示工程效果优化能力，支持进行提示词修改和提示工程优化。需提供“医疗大模型提示词配置软件”或类似名称的计算机软件著作权证书。</w:t>
      </w:r>
    </w:p>
    <w:p w14:paraId="0E5436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1.2支持对话语气、专业程度、回答形式等多维度参数的配置与调优。</w:t>
      </w:r>
    </w:p>
    <w:p w14:paraId="069AE21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1.3支持调用外部编排引擎或工作流，在提示词中嵌入上下文信息，让模型回答更具逻辑性与准确度。</w:t>
      </w:r>
    </w:p>
    <w:p w14:paraId="535D304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2.智能化语言风格与格式调整</w:t>
      </w:r>
    </w:p>
    <w:p w14:paraId="5B85C5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2.1根据使用场景需求，自动调整回复内容的语言风格（如通俗化解释、专业学术表达等）、详略程度和格式化输出。</w:t>
      </w:r>
    </w:p>
    <w:p w14:paraId="16E0E2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2.2可配置文本输出格式，如分点陈述、表格列举、医学报告模板等。</w:t>
      </w:r>
    </w:p>
    <w:p w14:paraId="2964F1DE">
      <w:pPr>
        <w:autoSpaceDE w:val="0"/>
        <w:autoSpaceDN w:val="0"/>
        <w:adjustRightInd w:val="0"/>
        <w:spacing w:line="360" w:lineRule="auto"/>
        <w:jc w:val="left"/>
        <w:rPr>
          <w:rFonts w:hint="eastAsia" w:ascii="宋体" w:hAnsi="宋体" w:eastAsia="宋体" w:cs="宋体"/>
          <w:kern w:val="0"/>
          <w:sz w:val="24"/>
          <w:szCs w:val="24"/>
        </w:rPr>
      </w:pPr>
    </w:p>
    <w:p w14:paraId="41EB6CA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（二）医疗智能体开发平台</w:t>
      </w:r>
    </w:p>
    <w:p w14:paraId="7E177D1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（1）医疗智能体创建</w:t>
      </w:r>
    </w:p>
    <w:p w14:paraId="43233DC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1.可视化智能体编排与管理</w:t>
      </w:r>
    </w:p>
    <w:p w14:paraId="0D95273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1.1支持拖拽式配置对话流程、业务流程，灵活定义节点关系。</w:t>
      </w:r>
    </w:p>
    <w:p w14:paraId="4A217FA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1.2支持创建简单对话型智能体，也支持创建复杂工作流型智能体。</w:t>
      </w:r>
    </w:p>
    <w:p w14:paraId="1213454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1.3支持直接应用官方或团队共享的智能体模板。</w:t>
      </w:r>
    </w:p>
    <w:p w14:paraId="4C2547E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2.可视化Prompt编辑器</w:t>
      </w:r>
    </w:p>
    <w:p w14:paraId="19C733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2.1支持实时编辑并查看Prompt效果，支持调试、测试模型的回复结果。</w:t>
      </w:r>
    </w:p>
    <w:p w14:paraId="7F77106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2.2支持内置典型医疗场景的Prompt库，便于快速编写问诊、诊断类提示词。</w:t>
      </w:r>
    </w:p>
    <w:p w14:paraId="525ED0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2.3支持个性化Prompt模板创建、复用。</w:t>
      </w:r>
    </w:p>
    <w:p w14:paraId="5DFA585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3.大模型参数配置</w:t>
      </w:r>
    </w:p>
    <w:p w14:paraId="100948E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3.1支持不同大模型的接入与切换，可对接本地部署LLM、私有化大模型或公有云API。</w:t>
      </w:r>
    </w:p>
    <w:p w14:paraId="58CFA88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3.2支持对模型输入及输出相关参数进行配置。</w:t>
      </w:r>
    </w:p>
    <w:p w14:paraId="352484E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3.3支持对模型相关参数进行配置，包括生成随机性、重复惩罚参数等。</w:t>
      </w:r>
    </w:p>
    <w:p w14:paraId="1FBE4BD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4.富文本编辑器</w:t>
      </w:r>
    </w:p>
    <w:p w14:paraId="6E9FA12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4.1支持以所见即所得方式配置智能体开场白。</w:t>
      </w:r>
    </w:p>
    <w:p w14:paraId="5461462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4.2支持开场时预置引导性问题，提升用户交互效率。</w:t>
      </w:r>
    </w:p>
    <w:p w14:paraId="7391588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5.自定义Suggest Prompt</w:t>
      </w:r>
    </w:p>
    <w:p w14:paraId="3A14A8E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5.1支持在模型回复后，自动生成推荐追问和/补充问题。</w:t>
      </w:r>
    </w:p>
    <w:p w14:paraId="2D9D88D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5.2支持配置相关Prompt逻辑，帮助用户进一步深入了解咨询内容。</w:t>
      </w:r>
    </w:p>
    <w:p w14:paraId="25550D9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6.TTS语音合成</w:t>
      </w:r>
    </w:p>
    <w:p w14:paraId="0A95B0F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6.1支持集成TTS引擎，将文本内容以多种语音风格进行播报。</w:t>
      </w:r>
    </w:p>
    <w:p w14:paraId="75CB83F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6.2支持可扩展多语言音色，如普通话、英语等。</w:t>
      </w:r>
    </w:p>
    <w:p w14:paraId="6439CC7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7.ASR语音识别</w:t>
      </w:r>
    </w:p>
    <w:p w14:paraId="1B9B069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7.1支持将用户语音输入转换为文本并实时传递给智能体模型。</w:t>
      </w:r>
    </w:p>
    <w:p w14:paraId="4FD453A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7.2支持通过医疗专用词表优化语音识别准确率。</w:t>
      </w:r>
    </w:p>
    <w:p w14:paraId="6839E5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8.文档解析与多模态支持</w:t>
      </w:r>
    </w:p>
    <w:p w14:paraId="2E62FC9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8.1支持用户上传病例、检验报告、影像资料（PDF、图片等）进行解析。</w:t>
      </w:r>
    </w:p>
    <w:p w14:paraId="2DB899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8.2支持与文档、图片OCR插件集成，结构化输出核心信息。</w:t>
      </w:r>
    </w:p>
    <w:p w14:paraId="0B5D0AE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9.智能体背景设置</w:t>
      </w:r>
    </w:p>
    <w:p w14:paraId="2A17F3A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9.1支持上传智能体对话界面的背景图并进行缩放、位置调整。</w:t>
      </w:r>
    </w:p>
    <w:p w14:paraId="31AEF79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9.2支持医疗场景主题皮肤（医院Logo、统一设计风格等）。</w:t>
      </w:r>
    </w:p>
    <w:p w14:paraId="04EFD0D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10.多类型技能挂载</w:t>
      </w:r>
    </w:p>
    <w:p w14:paraId="1E483A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10.1支持一键挂载知识库、工作流、插件等不同能力。</w:t>
      </w:r>
    </w:p>
    <w:p w14:paraId="5BEAB05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10.2支持智能体在对话中调用对应技能。</w:t>
      </w:r>
    </w:p>
    <w:p w14:paraId="5D00119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11.实时预览与日志</w:t>
      </w:r>
    </w:p>
    <w:p w14:paraId="1D9562D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▲11.1调试预览：支持对编排配置实时生效调试预览；支持查看调试相关详情信息，包含对话涉及的模型参数、运行情况、运行时间等内容；需提供系统截图作为证明材料。</w:t>
      </w:r>
    </w:p>
    <w:p w14:paraId="7B94F81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11.2支持调试日志的阅览、筛选和导出，支持对调试情况的整体统计指标展示。</w:t>
      </w:r>
    </w:p>
    <w:p w14:paraId="3469415C">
      <w:pPr>
        <w:autoSpaceDE w:val="0"/>
        <w:autoSpaceDN w:val="0"/>
        <w:adjustRightInd w:val="0"/>
        <w:spacing w:line="360" w:lineRule="auto"/>
        <w:jc w:val="left"/>
        <w:rPr>
          <w:rFonts w:hint="eastAsia" w:ascii="宋体" w:hAnsi="宋体" w:eastAsia="宋体" w:cs="宋体"/>
          <w:kern w:val="0"/>
          <w:sz w:val="24"/>
          <w:szCs w:val="24"/>
        </w:rPr>
      </w:pPr>
    </w:p>
    <w:p w14:paraId="6C6EF6A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（2）医疗智能体发布及运营</w:t>
      </w:r>
    </w:p>
    <w:p w14:paraId="581515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1.多渠道发布管理</w:t>
      </w:r>
    </w:p>
    <w:p w14:paraId="387604C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1.1支持将智能体集成至已有的业务流程以提升业务效率，优化用户体验。</w:t>
      </w:r>
    </w:p>
    <w:p w14:paraId="0F057D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1.2支持以网页发布智能体，支持二维码形式分享入口。 </w:t>
      </w:r>
    </w:p>
    <w:p w14:paraId="6B8E7BF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▲1.3支持以API和Web SDK形式发布智能体。需提供系统截图作为证明材料。</w:t>
      </w:r>
    </w:p>
    <w:p w14:paraId="76E34B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1.4支持阅览发布历史版本的相关配置内容。</w:t>
      </w:r>
    </w:p>
    <w:p w14:paraId="28F6E50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1.5支持智能体发布历史的版本回退。 </w:t>
      </w:r>
    </w:p>
    <w:p w14:paraId="39F91C1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▲1.6支持智能体发布后对相关发布渠道的参数进行管理；需提供系统截图作为证明材料。</w:t>
      </w:r>
    </w:p>
    <w:p w14:paraId="15FD3D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2.数据可视化运营管理</w:t>
      </w:r>
    </w:p>
    <w:p w14:paraId="1214580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2.1支持对发布后的产品相关运营数据进行可视化展示。</w:t>
      </w:r>
    </w:p>
    <w:p w14:paraId="13E94E8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▲2.2支持智能体发布后的用户使用相关信息的统计、展示、筛选和导出；需提供投标截止日在有效期内的软件著作权证书证明。</w:t>
      </w:r>
    </w:p>
    <w:p w14:paraId="2AF90E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3.对话日志与统计</w:t>
      </w:r>
    </w:p>
    <w:p w14:paraId="2D67F4F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3.1支持记录用户与智能体的所有交互进行记录。</w:t>
      </w:r>
    </w:p>
    <w:p w14:paraId="5721AB6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3.2支持交互记录的检索、筛选与导出。</w:t>
      </w:r>
    </w:p>
    <w:p w14:paraId="32BFF3C3">
      <w:pPr>
        <w:autoSpaceDE w:val="0"/>
        <w:autoSpaceDN w:val="0"/>
        <w:adjustRightInd w:val="0"/>
        <w:spacing w:line="360" w:lineRule="auto"/>
        <w:jc w:val="left"/>
        <w:rPr>
          <w:rFonts w:hint="eastAsia" w:ascii="宋体" w:hAnsi="宋体" w:eastAsia="宋体" w:cs="宋体"/>
          <w:kern w:val="0"/>
          <w:sz w:val="24"/>
          <w:szCs w:val="24"/>
        </w:rPr>
      </w:pPr>
    </w:p>
    <w:p w14:paraId="7E0876B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（3）语料库管理与配置</w:t>
      </w:r>
    </w:p>
    <w:p w14:paraId="0E0157C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1.语料库管理</w:t>
      </w:r>
    </w:p>
    <w:p w14:paraId="59F1B92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1.1支持创建个人语料库，支持创建团队语料库并要求其他用户共同编辑。</w:t>
      </w:r>
    </w:p>
    <w:p w14:paraId="3037E78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1.2支持创建语料库，支持本地上传语料库文档，支持对语料库内文档的列表展示和筛选。</w:t>
      </w:r>
    </w:p>
    <w:p w14:paraId="7572F0B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2.语料库向量化配置</w:t>
      </w:r>
    </w:p>
    <w:p w14:paraId="6BCAEDB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2.1支持按照语义段落、页面、句子级粒度切分文档。</w:t>
      </w:r>
    </w:p>
    <w:p w14:paraId="7E4A43B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2.2支持查看并编辑切分结果，以确保医学内容的准确性。</w:t>
      </w:r>
    </w:p>
    <w:p w14:paraId="6E25A21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3.语料库召回相关配置</w:t>
      </w:r>
    </w:p>
    <w:p w14:paraId="0D4C30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3.1语料库检索策略配置，支持针对不同语料选择语义、全文、混合搜索方式。</w:t>
      </w:r>
    </w:p>
    <w:p w14:paraId="350886A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3.2支持配置top K和score阈值参数以过滤低相关结果。</w:t>
      </w:r>
    </w:p>
    <w:p w14:paraId="5930E61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3.3支持对自定义无召回情况的回复配置。</w:t>
      </w:r>
    </w:p>
    <w:p w14:paraId="0377D30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4.语料库召回测试</w:t>
      </w:r>
    </w:p>
    <w:p w14:paraId="0BD66C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4.1支持对知识库配置进行召回测试，以实时调整相关配置。</w:t>
      </w:r>
    </w:p>
    <w:p w14:paraId="4009CD6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4.2支持针对知识库检索配置进行模拟查询，快速调优参数。</w:t>
      </w:r>
    </w:p>
    <w:p w14:paraId="29AF9FB5">
      <w:pPr>
        <w:autoSpaceDE w:val="0"/>
        <w:autoSpaceDN w:val="0"/>
        <w:adjustRightInd w:val="0"/>
        <w:spacing w:line="360" w:lineRule="auto"/>
        <w:jc w:val="left"/>
        <w:rPr>
          <w:rFonts w:hint="eastAsia" w:ascii="宋体" w:hAnsi="宋体" w:eastAsia="宋体" w:cs="宋体"/>
          <w:kern w:val="0"/>
          <w:sz w:val="24"/>
          <w:szCs w:val="24"/>
        </w:rPr>
      </w:pPr>
    </w:p>
    <w:p w14:paraId="4E99F0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（4）工作流绘制与管理</w:t>
      </w:r>
    </w:p>
    <w:p w14:paraId="63BBA12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1.工作流可视化绘制</w:t>
      </w:r>
    </w:p>
    <w:p w14:paraId="7A6A55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1.1支持通过可视化编排的方式，以直观的拖拽操作对相关功能节点进行串联，从而实现复杂、稳定的业务流程。</w:t>
      </w:r>
    </w:p>
    <w:p w14:paraId="182114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▲1.2支持创建以工作流作为主体流程的智能体，可支持多轮对话；需提供系统截图作为证明材料。</w:t>
      </w:r>
    </w:p>
    <w:p w14:paraId="4904CCC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1.3支持创建用于具体场景的业务过程、任务或活动的工具型自动化流，可在普通智能体的编排中添加和引用。</w:t>
      </w:r>
    </w:p>
    <w:p w14:paraId="1E61789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1.4支持集成后的工作流智能体自动启动并开始流程。</w:t>
      </w:r>
    </w:p>
    <w:p w14:paraId="4D93D36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▲1.5支持大语言模型生成（LLM）、医学文本结构化、条件判断等节点；需提供系统截图作为证明材料。</w:t>
      </w:r>
    </w:p>
    <w:p w14:paraId="5A1B8D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▲1.6支持绘制交互式表单，并支持对表单填写内容进行数据提取或者分析；需提供系统截图作为证明材料。</w:t>
      </w:r>
    </w:p>
    <w:p w14:paraId="29D1B7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▲1.7支持定义会话变量，支持以交互的形式填写会话变量；需提供系统截图作为证明材料。</w:t>
      </w:r>
    </w:p>
    <w:p w14:paraId="029544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1.8支持工作流节点的动态参数传递和实时调试。</w:t>
      </w:r>
    </w:p>
    <w:p w14:paraId="65E903E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1.9支持配置过程中相关问题的检查和提醒。</w:t>
      </w:r>
    </w:p>
    <w:p w14:paraId="6EB247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1.10支持画布toolbar、绘制变更自动保存和后退、相关快捷键操作。</w:t>
      </w:r>
    </w:p>
    <w:p w14:paraId="72E869D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2.工作流智能体编排</w:t>
      </w:r>
    </w:p>
    <w:p w14:paraId="6DED42B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2.1支持创建、复制或引用现有工作流作为智能体主体流程。</w:t>
      </w:r>
    </w:p>
    <w:p w14:paraId="328D0C0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2.2支持配置以工作流为主体流程的智能体的开场白、文件上传等功能。</w:t>
      </w:r>
    </w:p>
    <w:p w14:paraId="42E3B37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2.3支持以工作流为主体流程的智能体的功能调试和预览。</w:t>
      </w:r>
    </w:p>
    <w:p w14:paraId="20246B6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3.工作流列表管理</w:t>
      </w:r>
    </w:p>
    <w:p w14:paraId="27A6E6F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3.1工作流支持按名称、场景标签等进行搜索和分类。</w:t>
      </w:r>
    </w:p>
    <w:p w14:paraId="34FA8DA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3.2支持增删改查、复制工作流和查看工作流使用记录。</w:t>
      </w:r>
    </w:p>
    <w:p w14:paraId="7D4AEDC2">
      <w:pPr>
        <w:autoSpaceDE w:val="0"/>
        <w:autoSpaceDN w:val="0"/>
        <w:adjustRightInd w:val="0"/>
        <w:spacing w:line="360" w:lineRule="auto"/>
        <w:jc w:val="left"/>
        <w:rPr>
          <w:rFonts w:hint="eastAsia" w:ascii="宋体" w:hAnsi="宋体" w:eastAsia="宋体" w:cs="宋体"/>
          <w:kern w:val="0"/>
          <w:sz w:val="24"/>
          <w:szCs w:val="24"/>
        </w:rPr>
      </w:pPr>
    </w:p>
    <w:p w14:paraId="09C6ADD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（5）多功能插件管理</w:t>
      </w:r>
    </w:p>
    <w:p w14:paraId="0014812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1.插件定义和使用</w:t>
      </w:r>
    </w:p>
    <w:p w14:paraId="0C60B5D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1.1提供OCR解析、文档解析、医学图像关键字段提取等常见医疗场景功能。</w:t>
      </w:r>
    </w:p>
    <w:p w14:paraId="21B0CA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1.2支持用户自定义插件工具。</w:t>
      </w:r>
    </w:p>
    <w:p w14:paraId="49D61A0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2.多维度插件分析</w:t>
      </w:r>
    </w:p>
    <w:p w14:paraId="34C0EBE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2.1支持列表用户创建的插件，支持插件的搜索、复制、增删。</w:t>
      </w:r>
    </w:p>
    <w:p w14:paraId="69FE81C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2.2支持插件被哪些智能体、工作流所调用相关使用信息的查看。</w:t>
      </w:r>
    </w:p>
    <w:p w14:paraId="26C242AD">
      <w:pPr>
        <w:autoSpaceDE w:val="0"/>
        <w:autoSpaceDN w:val="0"/>
        <w:adjustRightInd w:val="0"/>
        <w:spacing w:line="360" w:lineRule="auto"/>
        <w:jc w:val="left"/>
        <w:rPr>
          <w:rFonts w:hint="eastAsia" w:ascii="宋体" w:hAnsi="宋体" w:eastAsia="宋体" w:cs="宋体"/>
          <w:kern w:val="0"/>
          <w:sz w:val="24"/>
          <w:szCs w:val="24"/>
        </w:rPr>
      </w:pPr>
    </w:p>
    <w:p w14:paraId="4363926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（6）用户管理中心</w:t>
      </w:r>
    </w:p>
    <w:p w14:paraId="213BF4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1.多角色权限管理</w:t>
      </w:r>
    </w:p>
    <w:p w14:paraId="61A66A8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1.1支持创建院内账户、外部协作账户。</w:t>
      </w:r>
    </w:p>
    <w:p w14:paraId="6918699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1.2支持角色分组（管理员、医生、护士、IT等）。</w:t>
      </w:r>
    </w:p>
    <w:p w14:paraId="4F88167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1.3支持灵活配置功能权限与资源配额。</w:t>
      </w:r>
    </w:p>
    <w:p w14:paraId="69B3ED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1.4支持批量导入或导出用户列表。</w:t>
      </w:r>
    </w:p>
    <w:p w14:paraId="379B754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2.统一广播与个性化订阅</w:t>
      </w:r>
    </w:p>
    <w:p w14:paraId="30DF29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2.1支持通过消息队列将平台公告推送相关用户。</w:t>
      </w:r>
    </w:p>
    <w:p w14:paraId="20809BE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2.2支持用户设置订阅偏好。</w:t>
      </w:r>
    </w:p>
    <w:p w14:paraId="7D2B8C0C">
      <w:pPr>
        <w:autoSpaceDE w:val="0"/>
        <w:autoSpaceDN w:val="0"/>
        <w:adjustRightInd w:val="0"/>
        <w:spacing w:line="360" w:lineRule="auto"/>
        <w:jc w:val="left"/>
        <w:rPr>
          <w:rFonts w:hint="eastAsia" w:ascii="宋体" w:hAnsi="宋体" w:eastAsia="宋体" w:cs="宋体"/>
          <w:kern w:val="0"/>
          <w:sz w:val="24"/>
          <w:szCs w:val="24"/>
        </w:rPr>
      </w:pPr>
    </w:p>
    <w:p w14:paraId="7477A65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（7）安全管理中心</w:t>
      </w:r>
    </w:p>
    <w:p w14:paraId="0C02001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1.安全监控管理</w:t>
      </w:r>
    </w:p>
    <w:p w14:paraId="0BFB151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1.1支持对触发安全监控的用户、被封禁用户进行查看和使用权限的操作。</w:t>
      </w:r>
    </w:p>
    <w:p w14:paraId="258B7F0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1.2支持对监控记录进行搜索筛选、查看以及导出。</w:t>
      </w:r>
    </w:p>
    <w:p w14:paraId="3229F76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2.安全策略管理</w:t>
      </w:r>
    </w:p>
    <w:p w14:paraId="76C0B88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2.1支持安全策略的版本管理和发布更新。</w:t>
      </w:r>
    </w:p>
    <w:p w14:paraId="5AAB7E4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▲2.2支持配置当前智能体所用的安全策略内容。需提供投标截止日在有效期内的软件著作权证书证明。</w:t>
      </w:r>
    </w:p>
    <w:p w14:paraId="60EDE924">
      <w:pPr>
        <w:autoSpaceDE w:val="0"/>
        <w:autoSpaceDN w:val="0"/>
        <w:adjustRightInd w:val="0"/>
        <w:spacing w:line="360" w:lineRule="auto"/>
        <w:jc w:val="left"/>
        <w:rPr>
          <w:rFonts w:hint="eastAsia" w:ascii="宋体" w:hAnsi="宋体" w:eastAsia="宋体" w:cs="宋体"/>
          <w:kern w:val="0"/>
          <w:sz w:val="24"/>
          <w:szCs w:val="24"/>
        </w:rPr>
      </w:pPr>
    </w:p>
    <w:p w14:paraId="72AB1D2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（8）模板集市管理</w:t>
      </w:r>
    </w:p>
    <w:p w14:paraId="348674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1.官方医疗场景模板</w:t>
      </w:r>
    </w:p>
    <w:p w14:paraId="28A5C3F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1.1系统内置涉及医疗应用各类场景的第一方模板。</w:t>
      </w:r>
    </w:p>
    <w:p w14:paraId="23B5DA9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1.2支持官方医疗场景模板的更新和编辑。</w:t>
      </w:r>
    </w:p>
    <w:p w14:paraId="156FE2A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2.自定义模板与一键复制</w:t>
      </w:r>
    </w:p>
    <w:p w14:paraId="596526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2.1支持将自定义创建好的智能体和工作流发布到模板集市。</w:t>
      </w:r>
    </w:p>
    <w:p w14:paraId="47CF663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2.2支持从模板集市复制内容并快速创建。</w:t>
      </w:r>
    </w:p>
    <w:p w14:paraId="4C50A4DB">
      <w:pPr>
        <w:autoSpaceDE w:val="0"/>
        <w:autoSpaceDN w:val="0"/>
        <w:adjustRightInd w:val="0"/>
        <w:spacing w:line="360" w:lineRule="auto"/>
        <w:jc w:val="left"/>
        <w:rPr>
          <w:rFonts w:hint="eastAsia" w:ascii="宋体" w:hAnsi="宋体" w:eastAsia="宋体" w:cs="宋体"/>
          <w:kern w:val="0"/>
          <w:sz w:val="24"/>
          <w:szCs w:val="24"/>
        </w:rPr>
      </w:pPr>
    </w:p>
    <w:p w14:paraId="7E62AB2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（9）消息中心</w:t>
      </w:r>
    </w:p>
    <w:p w14:paraId="1AAEF27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1.平台通报与协作提醒</w:t>
      </w:r>
    </w:p>
    <w:p w14:paraId="60B11DF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1.1支持展示平台公告的变动内容。</w:t>
      </w:r>
    </w:p>
    <w:p w14:paraId="59BAD97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1.2支持展示协作知识库的变动内容。</w:t>
      </w:r>
    </w:p>
    <w:p w14:paraId="37EF9A7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2.多维度过滤与归档</w:t>
      </w:r>
    </w:p>
    <w:p w14:paraId="73F2221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2.1支持对历史消息进行归档、筛选、查看，以便信息管理。</w:t>
      </w:r>
    </w:p>
    <w:p w14:paraId="33C1C41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2.2支持对历史消息的导出，方便后续的查看和分析。</w:t>
      </w:r>
    </w:p>
    <w:p w14:paraId="5B261875">
      <w:pPr>
        <w:autoSpaceDE w:val="0"/>
        <w:autoSpaceDN w:val="0"/>
        <w:adjustRightInd w:val="0"/>
        <w:spacing w:line="360" w:lineRule="auto"/>
        <w:jc w:val="left"/>
        <w:rPr>
          <w:rFonts w:hint="eastAsia" w:ascii="宋体" w:hAnsi="宋体" w:eastAsia="宋体" w:cs="宋体"/>
          <w:kern w:val="0"/>
          <w:sz w:val="24"/>
          <w:szCs w:val="24"/>
        </w:rPr>
      </w:pPr>
    </w:p>
    <w:p w14:paraId="102BBEB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四、实施部署要求</w:t>
      </w:r>
    </w:p>
    <w:p w14:paraId="2C2FE23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（一）技术要求</w:t>
      </w:r>
    </w:p>
    <w:p w14:paraId="7A4EAD3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1.算法性能：产品所采用的人工智能算法需在业务相关指标等上达到业务需求指标，以确保满足业务需求。</w:t>
      </w:r>
    </w:p>
    <w:p w14:paraId="460BA51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2.数据处理能力：具备高效的数据处理能力，能够处理业务场景下的数据规模、类型等，满足业务需求。</w:t>
      </w:r>
    </w:p>
    <w:p w14:paraId="7E354CA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3.系统兼容性：可与现有业务系统无缝对接，兼容有业务系统的技术架构、操作系统等，如 Windows Server 操作系统、Oracle 数据库等。</w:t>
      </w:r>
    </w:p>
    <w:p w14:paraId="11336E3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4.接入国内外主流大模型API接口：项目所建设的平台支持接入国内外主流大模型API接口，如deepseek v3、deepseek r1、qwen、glm、日日新、大医等。</w:t>
      </w:r>
    </w:p>
    <w:p w14:paraId="1D23643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5.本地部署不低于70B规模的deepseek大模型。</w:t>
      </w:r>
    </w:p>
    <w:p w14:paraId="0ABD6C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6.数据要求：原始数据不出院</w:t>
      </w:r>
    </w:p>
    <w:p w14:paraId="063998D5">
      <w:pPr>
        <w:autoSpaceDE w:val="0"/>
        <w:autoSpaceDN w:val="0"/>
        <w:adjustRightInd w:val="0"/>
        <w:spacing w:line="360" w:lineRule="auto"/>
        <w:jc w:val="left"/>
        <w:rPr>
          <w:rFonts w:hint="eastAsia" w:ascii="宋体" w:hAnsi="宋体" w:eastAsia="宋体" w:cs="宋体"/>
          <w:kern w:val="0"/>
          <w:sz w:val="24"/>
          <w:szCs w:val="24"/>
        </w:rPr>
      </w:pPr>
    </w:p>
    <w:p w14:paraId="3F7AEC8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（二）交付和保障要求</w:t>
      </w:r>
    </w:p>
    <w:p w14:paraId="7B1592F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1.本项目需要提供完善的项目实施方案，包含项目进度计划和保障措施等内容。</w:t>
      </w:r>
    </w:p>
    <w:p w14:paraId="452BDE1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2.招标范围内的全部内容都由投标人负责，包括但不限于系统升级及安装、配置设备、安装、调试等。</w:t>
      </w:r>
    </w:p>
    <w:p w14:paraId="728B80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3.项目建成系统安装完成后对招标方管理人员进行培训与技术指导，确保业务人员能够熟练使用产品。</w:t>
      </w:r>
    </w:p>
    <w:p w14:paraId="4171FD5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★4.为保证综合服务能力，投标人须承诺派遣1名合格的技术人员或服务人员至用户指定的工作场所驻场，提供服务承诺函。</w:t>
      </w:r>
    </w:p>
    <w:p w14:paraId="5EF89198">
      <w:pPr>
        <w:autoSpaceDE w:val="0"/>
        <w:autoSpaceDN w:val="0"/>
        <w:adjustRightInd w:val="0"/>
        <w:spacing w:line="360" w:lineRule="auto"/>
        <w:jc w:val="left"/>
        <w:rPr>
          <w:rFonts w:hint="eastAsia" w:ascii="宋体" w:hAnsi="宋体" w:eastAsia="宋体" w:cs="宋体"/>
          <w:kern w:val="0"/>
          <w:sz w:val="24"/>
          <w:szCs w:val="24"/>
        </w:rPr>
      </w:pPr>
    </w:p>
    <w:p w14:paraId="669C9C1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（三）售后服务要求</w:t>
      </w:r>
    </w:p>
    <w:p w14:paraId="33E9B51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投标人具有固定的售后服务团队和软件开发服务团队：故障响应时间不超过1小时，非工作日及夜间故障响应时间为不超过2小时，需现场处理时技术人员2小时内到达现场，4小时内修复。免费维保期内每季度需要至少一次对系统优化和常规安全检查。</w:t>
      </w:r>
    </w:p>
    <w:p w14:paraId="706D80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★2.本项目需提供自验收通过之日起≥1年7*24小时免费维保服务。</w:t>
      </w:r>
    </w:p>
    <w:p w14:paraId="207EAD6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三、商务要求</w:t>
      </w:r>
    </w:p>
    <w:p w14:paraId="24DD97B1">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最高限价</w:t>
      </w:r>
    </w:p>
    <w:p w14:paraId="3F93718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人民币</w:t>
      </w:r>
      <w:r>
        <w:rPr>
          <w:rFonts w:hint="eastAsia" w:ascii="宋体" w:hAnsi="宋体" w:eastAsia="宋体" w:cs="宋体"/>
          <w:kern w:val="0"/>
          <w:sz w:val="24"/>
          <w:szCs w:val="24"/>
          <w:lang w:val="en-US" w:eastAsia="zh-CN"/>
        </w:rPr>
        <w:t>199</w:t>
      </w:r>
      <w:r>
        <w:rPr>
          <w:rFonts w:hint="eastAsia" w:ascii="宋体" w:hAnsi="宋体" w:eastAsia="宋体" w:cs="宋体"/>
          <w:kern w:val="0"/>
          <w:sz w:val="24"/>
          <w:szCs w:val="24"/>
          <w:lang w:eastAsia="zh-CN"/>
        </w:rPr>
        <w:t>.00万元</w:t>
      </w: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资格条件</w:t>
      </w:r>
    </w:p>
    <w:p w14:paraId="7346E30D">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（1）具有合法经营资质的独立法人、其他组织；</w:t>
      </w:r>
    </w:p>
    <w:p w14:paraId="20626C84">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（2）未被“信用中国”网站（www.creditchina.gov.cn）列入失信被执行人名单、重大税收违法案件当事人名单、未被中国政府采购网（www.ccgp.gov.cn）列入政府采购严重违法失信行为记录名单。</w:t>
      </w:r>
    </w:p>
    <w:p w14:paraId="03449BC0">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3">
    <w:panose1 w:val="050401020108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995E8D"/>
    <w:rsid w:val="14094B03"/>
    <w:rsid w:val="1DC57AE4"/>
    <w:rsid w:val="1F0A03FC"/>
    <w:rsid w:val="21B06347"/>
    <w:rsid w:val="31785D43"/>
    <w:rsid w:val="49B50201"/>
    <w:rsid w:val="54294421"/>
    <w:rsid w:val="582D1057"/>
    <w:rsid w:val="59D9400C"/>
    <w:rsid w:val="65E840C9"/>
    <w:rsid w:val="682E13C0"/>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Plain Text"/>
    <w:basedOn w:val="1"/>
    <w:qFormat/>
    <w:uiPriority w:val="0"/>
    <w:pPr>
      <w:adjustRightInd w:val="0"/>
      <w:textAlignment w:val="baseline"/>
    </w:pPr>
    <w:rPr>
      <w:rFonts w:ascii="宋体" w:hAnsi="Courier New"/>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page number"/>
    <w:qFormat/>
    <w:uiPriority w:val="0"/>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34"/>
    <w:pPr>
      <w:ind w:firstLine="420" w:firstLineChars="200"/>
    </w:pPr>
  </w:style>
  <w:style w:type="character" w:customStyle="1" w:styleId="17">
    <w:name w:val="批注文字 字符"/>
    <w:basedOn w:val="10"/>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0"/>
    <w:link w:val="5"/>
    <w:autoRedefine/>
    <w:semiHidden/>
    <w:qFormat/>
    <w:uiPriority w:val="99"/>
    <w:rPr>
      <w:sz w:val="18"/>
      <w:szCs w:val="18"/>
    </w:rPr>
  </w:style>
  <w:style w:type="paragraph" w:customStyle="1" w:styleId="20">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12</Pages>
  <Words>1470</Words>
  <Characters>1695</Characters>
  <Lines>20</Lines>
  <Paragraphs>5</Paragraphs>
  <TotalTime>0</TotalTime>
  <ScaleCrop>false</ScaleCrop>
  <LinksUpToDate>false</LinksUpToDate>
  <CharactersWithSpaces>1702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2025-03-10T09:49:08Z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5BA4D0E65F324D6CAF1CDD63B8D3D2DE_12</vt:lpwstr>
  </property>
  <property fmtid="{D5CDD505-2E9C-101B-9397-08002B2CF9AE}" pid="4" name="KSOTemplateDocerSaveRecord">
    <vt:lpwstr>eyJoZGlkIjoiMmFhN2YyNGE3MGRmODA3YWUxMTEzMzYyNzE2N2EyZGMiLCJ1c2VySWQiOiIxNDIzNDMyNjI3In0=</vt:lpwstr>
  </property>
</Properties>
</file>